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u w:val="single"/>
        </w:rPr>
        <w:t>GAS SETTLEMENT AND RELEASE AGREEMENT</w:t>
      </w:r>
    </w:p>
    <w:p>
      <w:pPr>
        <w:pStyle w:val="Normal"/>
        <w:jc w:val="center"/>
        <w:rPr>
          <w:b/>
        </w:rPr>
      </w:pPr>
      <w:r>
        <w:rPr>
          <w:b/>
        </w:rPr>
      </w:r>
    </w:p>
    <w:p>
      <w:pPr>
        <w:pStyle w:val="Normal"/>
        <w:rPr>
          <w:b/>
        </w:rPr>
      </w:pPr>
      <w:r>
        <w:rPr>
          <w:b/>
        </w:rPr>
      </w:r>
    </w:p>
    <w:p>
      <w:pPr>
        <w:pStyle w:val="Normal"/>
        <w:rPr/>
      </w:pPr>
      <w:r>
        <w:rPr/>
        <w:tab/>
        <w:t>This Gas Settlement and Release Agreement (this "</w:t>
      </w:r>
      <w:r>
        <w:rPr>
          <w:u w:val="single"/>
        </w:rPr>
        <w:t>Agreement</w:t>
      </w:r>
      <w:r>
        <w:rPr/>
        <w:t>") is effective as of the ___th day of September, 2001 by and between Enron North America Corp., a Delaware corporation ("</w:t>
      </w:r>
      <w:r>
        <w:rPr>
          <w:u w:val="single"/>
        </w:rPr>
        <w:t>ENA</w:t>
      </w:r>
      <w:r>
        <w:rPr/>
        <w:t>") and TBG Cogen Partners, a New York partnership ("</w:t>
      </w:r>
      <w:r>
        <w:rPr>
          <w:u w:val="single"/>
        </w:rPr>
        <w:t>TBG</w:t>
      </w:r>
      <w:r>
        <w:rPr/>
        <w:t>") (each a "</w:t>
      </w:r>
      <w:r>
        <w:rPr>
          <w:u w:val="single"/>
        </w:rPr>
        <w:t>Party</w:t>
      </w:r>
      <w:r>
        <w:rPr/>
        <w:t>" and collectively the "</w:t>
      </w:r>
      <w:r>
        <w:rPr>
          <w:u w:val="single"/>
        </w:rPr>
        <w:t>Parties</w:t>
      </w:r>
      <w:r>
        <w:rPr/>
        <w:t>").</w:t>
      </w:r>
    </w:p>
    <w:p>
      <w:pPr>
        <w:pStyle w:val="Normal"/>
        <w:rPr/>
      </w:pPr>
      <w:r>
        <w:rPr/>
      </w:r>
    </w:p>
    <w:p>
      <w:pPr>
        <w:pStyle w:val="Normal"/>
        <w:tabs>
          <w:tab w:val="left" w:pos="720" w:leader="none"/>
        </w:tabs>
        <w:rPr/>
      </w:pPr>
      <w:r>
        <w:rPr/>
        <w:tab/>
        <w:t>WHEREAS, ENA (as successor in interest to Enron Gas Marketing, Inc.) and TBG previously entered into that certain Amended and Restated Gas Sales Agreement dated June 30, 1988 as amended from time to time, concerning the sale of gas by ENA to TBG’s facility located in Bethpage, New York (the "</w:t>
      </w:r>
      <w:r>
        <w:rPr>
          <w:u w:val="single"/>
        </w:rPr>
        <w:t>Gas Agreement</w:t>
      </w:r>
      <w:r>
        <w:rPr/>
        <w:t>").</w:t>
      </w:r>
    </w:p>
    <w:p>
      <w:pPr>
        <w:pStyle w:val="Normal"/>
        <w:tabs>
          <w:tab w:val="left" w:pos="720" w:leader="none"/>
        </w:tabs>
        <w:ind w:hanging="1440" w:start="1440" w:end="0"/>
        <w:rPr/>
      </w:pPr>
      <w:r>
        <w:rPr/>
      </w:r>
    </w:p>
    <w:p>
      <w:pPr>
        <w:pStyle w:val="Normal"/>
        <w:rPr/>
      </w:pPr>
      <w:r>
        <w:rPr/>
        <w:tab/>
        <w:t xml:space="preserve">WHEREAS, ENA and TBG desire to replace the Gas Agreement effective as of October 1, 2001 with a Transaction Agreement governed by an Enfolio® Master Firm Purchase/Sale Agreement between the Parties. </w:t>
      </w:r>
    </w:p>
    <w:p>
      <w:pPr>
        <w:pStyle w:val="Normal"/>
        <w:tabs>
          <w:tab w:val="left" w:pos="720" w:leader="none"/>
        </w:tabs>
        <w:ind w:hanging="1440" w:start="1440" w:end="0"/>
        <w:rPr/>
      </w:pPr>
      <w:r>
        <w:rPr/>
      </w:r>
    </w:p>
    <w:p>
      <w:pPr>
        <w:pStyle w:val="Normal"/>
        <w:rPr/>
      </w:pPr>
      <w:r>
        <w:rPr/>
        <w:tab/>
        <w:t>WHEREAS, ENA and TBG have reached agreement concerning the certain quantities of gas and pricing of such quantities sold by ENA to TBG under the agreement from the period of January 1, 2001 through September 30, 2001 (the “Settlement Period”).</w:t>
      </w:r>
    </w:p>
    <w:p>
      <w:pPr>
        <w:pStyle w:val="Normal"/>
        <w:rPr/>
      </w:pPr>
      <w:r>
        <w:rPr/>
      </w:r>
    </w:p>
    <w:p>
      <w:pPr>
        <w:pStyle w:val="Normal"/>
        <w:rPr/>
      </w:pPr>
      <w:r>
        <w:rPr/>
        <w:tab/>
        <w:t>NOW, THEREFORE, in consideration of the mutual promises and covenants herein, the receipt and sufficiency of which are hereby expressly acknowledged by ENA and TBG, the parties do hereby agree as follows:</w:t>
      </w:r>
    </w:p>
    <w:p>
      <w:pPr>
        <w:pStyle w:val="Normal"/>
        <w:rPr/>
      </w:pPr>
      <w:r>
        <w:rPr/>
      </w:r>
    </w:p>
    <w:p>
      <w:pPr>
        <w:pStyle w:val="Normal"/>
        <w:rPr/>
      </w:pPr>
      <w:r>
        <w:rPr/>
        <w:t>1.</w:t>
        <w:tab/>
        <w:t>Any capitalized terms not defined herein shall have the meanings set forth in the Gas Agreement.</w:t>
      </w:r>
    </w:p>
    <w:p>
      <w:pPr>
        <w:pStyle w:val="Normal"/>
        <w:rPr/>
      </w:pPr>
      <w:r>
        <w:rPr/>
      </w:r>
    </w:p>
    <w:p>
      <w:pPr>
        <w:pStyle w:val="Normal"/>
        <w:rPr/>
      </w:pPr>
      <w:r>
        <w:rPr/>
        <w:t>2.</w:t>
        <w:tab/>
        <w:t>ENA and TBG agree that the quantities and price for the Grumman Requirements Gas and the LILCO Requirements Gas during the Settlement Period shall be as set forth in Exhibit “A” attached hereto.  All invoicing and payment for such quantities shall be performed in accordance with terms and conditions of the Gas Agreement.</w:t>
      </w:r>
    </w:p>
    <w:p>
      <w:pPr>
        <w:pStyle w:val="Normal"/>
        <w:rPr>
          <w:sz w:val="20"/>
        </w:rPr>
      </w:pPr>
      <w:r>
        <w:rPr>
          <w:sz w:val="20"/>
        </w:rPr>
        <w:tab/>
        <w:tab/>
      </w:r>
    </w:p>
    <w:p>
      <w:pPr>
        <w:pStyle w:val="Normal"/>
        <w:rPr/>
      </w:pPr>
      <w:r>
        <w:rPr/>
        <w:t>3.</w:t>
        <w:tab/>
        <w:t>ENA and TBG agree that TBG may, at any time in its sole discretion, consume the Section 2.3 Gas delivered by ENA in accordance with Section 2.3 of Article II (Quantity) of the Gas Agreement.</w:t>
      </w:r>
    </w:p>
    <w:p>
      <w:pPr>
        <w:pStyle w:val="Normal"/>
        <w:rPr/>
      </w:pPr>
      <w:r>
        <w:rPr/>
      </w:r>
    </w:p>
    <w:p>
      <w:pPr>
        <w:pStyle w:val="Normal"/>
        <w:rPr/>
      </w:pPr>
      <w:r>
        <w:rPr/>
        <w:t>4.</w:t>
        <w:tab/>
        <w:t>ENA and TBG agree that the Gas Agreement shall be terminated effective as of October 1, 2001 and replaced with a Transaction Agreement governed by an Enfolio® Master Firm Purchase/Sale Agreement to be executed by the Parties simultaneously with this Agreement.</w:t>
      </w:r>
    </w:p>
    <w:p>
      <w:pPr>
        <w:pStyle w:val="Normal"/>
        <w:rPr/>
      </w:pPr>
      <w:r>
        <w:rPr/>
      </w:r>
    </w:p>
    <w:p>
      <w:pPr>
        <w:pStyle w:val="Normal"/>
        <w:rPr/>
      </w:pPr>
      <w:r>
        <w:rPr/>
        <w:t>5.</w:t>
        <w:tab/>
        <w:t xml:space="preserve">Each Party does hereby FULLY AND FINALLY RELEASE, DISCHARGE, and FOREVER ACQUIT the other Party, and its assigns, insurers, officers, directors, employees, agents and attorneys from any liability, obligation, claim or cause or right of action, known or unknown, foreseen or unforeseen, arising from the Gas Agreement prior to October 1, 2001.  </w:t>
      </w:r>
    </w:p>
    <w:p>
      <w:pPr>
        <w:pStyle w:val="Normal"/>
        <w:rPr/>
      </w:pPr>
      <w:r>
        <w:rPr/>
      </w:r>
    </w:p>
    <w:p>
      <w:pPr>
        <w:pStyle w:val="Normal"/>
        <w:rPr/>
      </w:pPr>
      <w:r>
        <w:rPr/>
        <w:t>6.  This Agreement contains the entire agreement between TBG and ENA concerning the subject matter hereof and shall be governed by the laws of the State of Texas.  Any modifications concerning this Agreement shall be of no force or effect unless in writing, executed by the parties hereto.</w:t>
      </w:r>
    </w:p>
    <w:p>
      <w:pPr>
        <w:pStyle w:val="Normal"/>
        <w:rPr/>
      </w:pPr>
      <w:r>
        <w:rPr/>
      </w:r>
    </w:p>
    <w:p>
      <w:pPr>
        <w:pStyle w:val="Normal"/>
        <w:rPr/>
      </w:pPr>
      <w:r>
        <w:rPr/>
        <w:tab/>
        <w:t>IN WITNESS WHEREOF, we have executed this Agreement in multiple originals effective as of the date set forth above.</w:t>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3600" w:leader="none"/>
        </w:tabs>
        <w:rPr>
          <w:b/>
        </w:rPr>
      </w:pPr>
      <w:r>
        <w:rPr>
          <w:b/>
        </w:rPr>
        <w:tab/>
        <w:t>ENRON NORTH AMERICA CORP.</w:t>
      </w:r>
    </w:p>
    <w:p>
      <w:pPr>
        <w:pStyle w:val="Normal"/>
        <w:tabs>
          <w:tab w:val="clear" w:pos="720"/>
          <w:tab w:val="left" w:pos="3600" w:leader="none"/>
        </w:tabs>
        <w:rPr>
          <w:b/>
        </w:rPr>
      </w:pPr>
      <w:r>
        <w:rPr>
          <w:b/>
        </w:rPr>
      </w:r>
    </w:p>
    <w:p>
      <w:pPr>
        <w:pStyle w:val="Normal"/>
        <w:tabs>
          <w:tab w:val="clear" w:pos="720"/>
          <w:tab w:val="left" w:pos="3600" w:leader="none"/>
        </w:tabs>
        <w:rPr/>
      </w:pPr>
      <w:r>
        <w:rPr/>
      </w:r>
    </w:p>
    <w:p>
      <w:pPr>
        <w:pStyle w:val="Normal"/>
        <w:tabs>
          <w:tab w:val="clear" w:pos="720"/>
          <w:tab w:val="left" w:pos="3600" w:leader="none"/>
        </w:tabs>
        <w:rPr/>
      </w:pPr>
      <w:r>
        <w:rPr/>
        <w:tab/>
        <w:t>By:</w:t>
      </w:r>
      <w:r>
        <w:rPr>
          <w:u w:val="single"/>
        </w:rPr>
        <w:tab/>
        <w:tab/>
        <w:tab/>
        <w:tab/>
        <w:tab/>
        <w:tab/>
        <w:tab/>
      </w:r>
    </w:p>
    <w:p>
      <w:pPr>
        <w:pStyle w:val="Normal"/>
        <w:tabs>
          <w:tab w:val="clear" w:pos="720"/>
          <w:tab w:val="left" w:pos="3600" w:leader="none"/>
        </w:tabs>
        <w:rPr/>
      </w:pPr>
      <w:r>
        <w:rPr/>
        <w:tab/>
        <w:t>Name:</w:t>
      </w:r>
      <w:r>
        <w:rPr>
          <w:u w:val="single"/>
        </w:rPr>
        <w:tab/>
        <w:tab/>
        <w:tab/>
        <w:tab/>
        <w:tab/>
        <w:tab/>
        <w:tab/>
      </w:r>
    </w:p>
    <w:p>
      <w:pPr>
        <w:pStyle w:val="Normal"/>
        <w:tabs>
          <w:tab w:val="clear" w:pos="720"/>
          <w:tab w:val="left" w:pos="3600" w:leader="none"/>
        </w:tabs>
        <w:rPr/>
      </w:pPr>
      <w:r>
        <w:rPr/>
        <w:tab/>
        <w:t>Title:</w:t>
      </w:r>
      <w:r>
        <w:rPr>
          <w:u w:val="single"/>
        </w:rPr>
        <w:tab/>
        <w:tab/>
        <w:tab/>
        <w:tab/>
        <w:tab/>
        <w:tab/>
        <w:tab/>
      </w:r>
    </w:p>
    <w:p>
      <w:pPr>
        <w:pStyle w:val="Normal"/>
        <w:tabs>
          <w:tab w:val="clear" w:pos="720"/>
          <w:tab w:val="left" w:pos="3600" w:leader="none"/>
        </w:tabs>
        <w:rPr>
          <w:u w:val="single"/>
        </w:rPr>
      </w:pPr>
      <w:r>
        <w:rPr>
          <w:u w:val="single"/>
        </w:rPr>
      </w:r>
    </w:p>
    <w:p>
      <w:pPr>
        <w:pStyle w:val="Normal"/>
        <w:tabs>
          <w:tab w:val="clear" w:pos="720"/>
          <w:tab w:val="left" w:pos="3600" w:leader="none"/>
        </w:tabs>
        <w:rPr/>
      </w:pPr>
      <w:r>
        <w:rPr/>
      </w:r>
    </w:p>
    <w:p>
      <w:pPr>
        <w:pStyle w:val="Normal"/>
        <w:tabs>
          <w:tab w:val="clear" w:pos="720"/>
          <w:tab w:val="left" w:pos="3600" w:leader="none"/>
        </w:tabs>
        <w:rPr/>
      </w:pPr>
      <w:r>
        <w:rPr/>
      </w:r>
    </w:p>
    <w:p>
      <w:pPr>
        <w:pStyle w:val="Normal"/>
        <w:tabs>
          <w:tab w:val="clear" w:pos="720"/>
          <w:tab w:val="left" w:pos="3600" w:leader="none"/>
        </w:tabs>
        <w:rPr>
          <w:b/>
        </w:rPr>
      </w:pPr>
      <w:r>
        <w:rPr>
          <w:b/>
        </w:rPr>
        <w:tab/>
        <w:t>TBG COGEN PARTNERS</w:t>
      </w:r>
    </w:p>
    <w:p>
      <w:pPr>
        <w:pStyle w:val="Normal"/>
        <w:tabs>
          <w:tab w:val="clear" w:pos="720"/>
          <w:tab w:val="left" w:pos="3600" w:leader="none"/>
        </w:tabs>
        <w:rPr>
          <w:b/>
        </w:rPr>
      </w:pPr>
      <w:r>
        <w:rPr>
          <w:b/>
        </w:rPr>
      </w:r>
    </w:p>
    <w:p>
      <w:pPr>
        <w:pStyle w:val="Normal"/>
        <w:tabs>
          <w:tab w:val="clear" w:pos="720"/>
          <w:tab w:val="left" w:pos="3600" w:leader="none"/>
        </w:tabs>
        <w:rPr/>
      </w:pPr>
      <w:r>
        <w:rPr/>
      </w:r>
    </w:p>
    <w:p>
      <w:pPr>
        <w:pStyle w:val="Normal"/>
        <w:tabs>
          <w:tab w:val="clear" w:pos="720"/>
          <w:tab w:val="left" w:pos="3600" w:leader="none"/>
        </w:tabs>
        <w:rPr/>
      </w:pPr>
      <w:r>
        <w:rPr/>
        <w:tab/>
        <w:t>By:</w:t>
      </w:r>
      <w:r>
        <w:rPr>
          <w:u w:val="single"/>
        </w:rPr>
        <w:tab/>
        <w:tab/>
        <w:tab/>
        <w:tab/>
        <w:tab/>
        <w:tab/>
        <w:tab/>
      </w:r>
    </w:p>
    <w:p>
      <w:pPr>
        <w:pStyle w:val="Normal"/>
        <w:tabs>
          <w:tab w:val="clear" w:pos="720"/>
          <w:tab w:val="left" w:pos="3600" w:leader="none"/>
        </w:tabs>
        <w:rPr/>
      </w:pPr>
      <w:r>
        <w:rPr/>
        <w:tab/>
        <w:t>Name:</w:t>
      </w:r>
      <w:r>
        <w:rPr>
          <w:u w:val="single"/>
        </w:rPr>
        <w:tab/>
        <w:tab/>
        <w:tab/>
        <w:tab/>
        <w:tab/>
        <w:tab/>
        <w:tab/>
      </w:r>
    </w:p>
    <w:p>
      <w:pPr>
        <w:pStyle w:val="Normal"/>
        <w:tabs>
          <w:tab w:val="clear" w:pos="720"/>
          <w:tab w:val="left" w:pos="3600" w:leader="none"/>
        </w:tabs>
        <w:rPr/>
      </w:pPr>
      <w:r>
        <w:rPr/>
        <w:tab/>
        <w:t>Title:</w:t>
      </w:r>
      <w:r>
        <w:rPr>
          <w:u w:val="single"/>
        </w:rPr>
        <w:tab/>
        <w:tab/>
        <w:tab/>
        <w:tab/>
        <w:tab/>
        <w:tab/>
        <w:tab/>
      </w:r>
    </w:p>
    <w:p>
      <w:pPr>
        <w:pStyle w:val="Normal"/>
        <w:tabs>
          <w:tab w:val="clear" w:pos="720"/>
          <w:tab w:val="left" w:pos="3960" w:leader="none"/>
        </w:tabs>
        <w:rPr>
          <w:u w:val="single"/>
        </w:rPr>
      </w:pPr>
      <w:r>
        <w:rPr/>
        <w:tab/>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Heading1"/>
        <w:ind w:hanging="0" w:start="0"/>
        <w:rPr/>
      </w:pPr>
      <w:r>
        <w:rPr/>
        <w:t>EXHIBIT A</w:t>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1915"/>
        <w:gridCol w:w="1915"/>
        <w:gridCol w:w="1915"/>
        <w:gridCol w:w="1915"/>
        <w:gridCol w:w="1916"/>
      </w:tblGrid>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Month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Grumman Requirements Gas (MMBtus/month)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Grumman Price ($/MMBtu)</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LILCO Requirements Gas (MMBtus/month)</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LILCO Price ($/MMBtu)</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January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181,750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2.1889</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181,750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11.2661</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February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146,500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2.5215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146,500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7.0512</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March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154,900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2.3744</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154,900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5.6839</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April</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171,000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2.4784</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171,000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6.0794</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May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122,150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2.6069</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122,150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5.5144</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June</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170,500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2.6155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170,500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4.2262</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July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 xml:space="preserve">August </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September</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r>
    </w:tbl>
    <w:p>
      <w:pPr>
        <w:pStyle w:val="Normal"/>
        <w:tabs>
          <w:tab w:val="clear" w:pos="720"/>
          <w:tab w:val="left" w:pos="3960" w:leader="none"/>
        </w:tabs>
        <w:jc w:val="center"/>
        <w:rPr>
          <w:u w:val="single"/>
        </w:rPr>
      </w:pPr>
      <w:r>
        <w:rPr>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p>
    <w:pPr>
      <w:pStyle w:val="Footer"/>
      <w:jc w:val="center"/>
      <w:rPr>
        <w:rStyle w:val="PageNumber"/>
      </w:rPr>
    </w:pPr>
    <w:r>
      <w:rPr/>
    </w:r>
  </w:p>
  <w:p>
    <w:pPr>
      <w:pStyle w:val="Footer"/>
      <w:rPr/>
    </w:pPr>
    <w:r>
      <w:rPr>
        <w:rStyle w:val="PageNumber"/>
        <w:sz w:val="16"/>
      </w:rPr>
      <w:t>O:\legal\gnemec\</w:t>
    </w: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TBG_Release.DOC</w:t>
    </w:r>
    <w:r>
      <w:rPr>
        <w:rStyle w:val="PageNumbe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DISCUSSION DRAFT 9/6/01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960" w:leader="none"/>
      </w:tabs>
      <w:jc w:val="center"/>
      <w:outlineLvl w:val="0"/>
    </w:pPr>
    <w:rPr>
      <w:b/>
      <w:bCs/>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2001-09-05T21:50:00Z</dcterms:created>
  <dc:creator>Renee H. Ingram</dc:creator>
  <dc:description/>
  <dc:language>en-CA</dc:language>
  <cp:lastModifiedBy>gnemec</cp:lastModifiedBy>
  <cp:lastPrinted>2001-09-06T18:59:00Z</cp:lastPrinted>
  <dcterms:modified xsi:type="dcterms:W3CDTF">2001-09-06T21:37:00Z</dcterms:modified>
  <cp:revision>8</cp:revision>
  <dc:subject/>
  <dc:title>RELEASE AGREEMENT</dc:title>
</cp:coreProperties>
</file>