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TARRANT BUSINESS </w:t>
      </w:r>
    </w:p>
    <w:p>
      <w:pPr>
        <w:pStyle w:val="Normal"/>
        <w:autoSpaceDE w:val="false"/>
        <w:spacing w:lineRule="atLeast" w:line="240"/>
        <w:rPr/>
      </w:pPr>
      <w:r>
        <w:rPr>
          <w:rFonts w:cs="Helv;Arial" w:ascii="Helv;Arial" w:hAnsi="Helv;Arial"/>
          <w:b/>
          <w:bCs/>
          <w:color w:val="000000"/>
        </w:rPr>
        <w:t>Fuquay, Aleshire, Bowen&amp;Co.</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Jim Fuquay;Ilene Aleshire;Bill Bowen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11/06/2000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Fort Worth Star-Telegram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FINAL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5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AZZ switches names, plugs into electrical power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There's a hot new company down in Crowley racking up record profits by plugging into the nation's deregulation of electricity generation.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Except it's not exactly a start-up. It's AZZ, and it ranked No. 58 in the latest Forbes magazine listing of the country's 200 best small companies.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If you haven't heard of AZZ, don't feel too bad. It's the latest incarnation of Aztec Manufacturing Co., which for decades made its living galvanizing metal and treating oilfield drill pipe. The company changed its name in August, adopting its ticker symbol, but the real change started a decade earlier.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Chairman L.C. Martin decided Aztec should get into electrical power transmission, eventually settling on large busses and electrical connectors at major power plant installations. Now two dozen power plants are under construction just in Texas and even more are on the drawing boards, and hundreds of new generating units are planned nationwide.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"That opens a lot of opportunities for us," Martin says. "Fifty years ago, a power plant was built to last 50 years. You started it up and didn't stop it. But now they're more efficient, come on and off line, and the life cycle is more like 10 years" as the industry tries to meet changing demand.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action has AZZ lighting up like Reddy Kilowatt. It's still in the drill pipe and galvanizing businesses, so electrical products provide even more spark.</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"We're operating at record backlogs," he says, and revenues and profits are growing at solid double-digit rates.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company employs about 160 in Crowley and has about 1,000 nationwide.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Investors haven't missed out. AZZ's stock is up more than 60 percent in the past year.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Any danger that California's experience this summer with sharply higher electricity prices could short-circuit AZZ's plans? Not likely, Martin says.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problem in California is you can't build a power plant or transmission lines," he says.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One big power company told Californians it would guarantee all the electricity needed if only the state would simply obtain the necessary permits, he says.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2000-11-09T13:44:00Z</dcterms:created>
  <dc:creator>mbuster</dc:creator>
  <dc:description/>
  <dc:language>en-CA</dc:language>
  <cp:lastModifiedBy>mbuster</cp:lastModifiedBy>
  <dcterms:modified xsi:type="dcterms:W3CDTF">2000-11-09T13:49:00Z</dcterms:modified>
  <cp:revision>1</cp:revision>
  <dc:subject/>
  <dc:title>TARRANT BUSINESS </dc:title>
</cp:coreProperties>
</file>