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9"/>
        <w:ind w:start="0" w:end="144"/>
        <w:rPr/>
      </w:pPr>
      <w:r>
        <w:rPr/>
        <w:drawing>
          <wp:inline distT="0" distB="0" distL="0" distR="0">
            <wp:extent cx="636270" cy="6362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ab/>
        <w:tab/>
        <w:tab/>
      </w:r>
    </w:p>
    <w:p>
      <w:pPr>
        <w:pStyle w:val="Heading9"/>
        <w:ind w:start="0" w:end="144"/>
        <w:rPr/>
      </w:pPr>
      <w:r>
        <w:rPr/>
        <w:tab/>
        <w:tab/>
        <w:tab/>
        <w:tab/>
        <w:tab/>
        <w:tab/>
        <w:tab/>
        <w:t>DEFINITIONS</w:t>
        <w:tab/>
        <w:tab/>
        <w:tab/>
        <w:tab/>
      </w:r>
      <w:r>
        <w:rPr>
          <w:sz w:val="20"/>
        </w:rPr>
        <w:t>Revised 1-31-00</w:t>
      </w:r>
    </w:p>
    <w:p>
      <w:pPr>
        <w:pStyle w:val="Normal"/>
        <w:rPr>
          <w:rFonts w:ascii="Times New Roman" w:hAnsi="Times New Roman" w:cs="Times New Roman"/>
          <w:b/>
          <w:sz w:val="18"/>
        </w:rPr>
      </w:pPr>
      <w:r>
        <w:rPr>
          <w:rFonts w:cs="Times New Roman" w:ascii="Times New Roman" w:hAnsi="Times New Roman"/>
          <w:b/>
          <w:sz w:val="18"/>
        </w:rPr>
      </w:r>
    </w:p>
    <w:p>
      <w:pPr>
        <w:pStyle w:val="Normal"/>
        <w:rPr>
          <w:rFonts w:ascii="Times New Roman" w:hAnsi="Times New Roman" w:cs="Times New Roman"/>
          <w:b/>
          <w:sz w:val="18"/>
        </w:rPr>
      </w:pPr>
      <w:r>
        <w:rPr>
          <w:rFonts w:cs="Times New Roman" w:ascii="Times New Roman" w:hAnsi="Times New Roman"/>
          <w:b/>
          <w:sz w:val="18"/>
        </w:rPr>
      </w:r>
    </w:p>
    <w:tbl>
      <w:tblPr>
        <w:tblW w:w="1041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4028"/>
        <w:gridCol w:w="4029"/>
      </w:tblGrid>
      <w:tr>
        <w:trPr>
          <w:trHeight w:val="27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REGION/BUSINESS GROUP HEADS</w:t>
            </w:r>
          </w:p>
        </w:tc>
        <w:tc>
          <w:tcPr>
            <w:tcW w:w="40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Jim Bannantine – South America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Cliff Baxter – North America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Sanjay Bhatnagar – India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Diomedes Christodoulou – South America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Andy Fastow – EGF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Mark Frevert – Europe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Kevin Hannon – EBS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Ken Harrison – PGE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</w:r>
          </w:p>
        </w:tc>
        <w:tc>
          <w:tcPr>
            <w:tcW w:w="4029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David Haug – Caribbean/Middle East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Joe Hirko – EBS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Stan Horton – GPG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Rebecca McDonald – Asia/Africa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Lou Pai – EES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Ken Rice – EBS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Greg Whalley – North America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Tom White – EES</w:t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 xml:space="preserve">GLOBAL FUNCTION 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GROUP HEADS</w:t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Kurt Huneke – Asset Operations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Larry Izzo – EE&amp;CC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Mike McConnell – Technology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ENE-OOC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Enron Corp. Office of Chairman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Approval defined as Ken Lay, Jeff Skilling or Joe Sutton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ENE-CEO or COO</w:t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Ken Lay or Jeff Skilling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ENE-BOD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Enron Corp. Board of Directors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Executive Committee between Board Meetings</w:t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DEAL</w:t>
            </w:r>
            <w:r>
              <w:rPr>
                <w:rFonts w:cs="Times New Roman" w:ascii="Times New Roman" w:hAnsi="Times New Roman"/>
                <w:b/>
                <w:sz w:val="18"/>
              </w:rPr>
              <w:tab/>
              <w:tab/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Capital Expenditure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Net to Enron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Funding Vehicle exposure included in Enron exposure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RAC</w:t>
            </w:r>
            <w:r>
              <w:rPr>
                <w:rFonts w:cs="Times New Roman" w:ascii="Times New Roman" w:hAnsi="Times New Roman"/>
                <w:b/>
                <w:sz w:val="18"/>
              </w:rPr>
              <w:tab/>
              <w:tab/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Risk Assessment and Control Group at Enron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Chief Risk Officer responsible for RAC activities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Capital Expenditure</w:t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All major corporate commitments by Enron and any of its subsidiaries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Acquisitions/Divestitures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Disposal of Assets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Providing a guarantee of obligations of unaffiliated third parties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Providing debt, subordinated debt, equity or partnership capital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A commodity or financial position that results in an exposure outside of Board Approved Limits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Risk Adjusted Capital</w:t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2"/>
              <w:rPr/>
            </w:pPr>
            <w:r>
              <w:rPr/>
              <w:t>The aggregation of exposure in a transaction that results from commodity positions, credit and guaranties; such exposure translated to an equivalent amount of capital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Conforming</w:t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Routine non-budgeted Capital Expenditure within the general business lines of Enron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Capital Expenditure made in an industry where Enron has established expertise</w:t>
            </w:r>
          </w:p>
          <w:p>
            <w:pPr>
              <w:pStyle w:val="BodyTextIndent2"/>
              <w:ind w:hanging="0" w:start="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Capital Expenditure made in a country where Enron has established a local presence and is currently conducting business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RAC Group will determine if Conforming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</w:r>
          </w:p>
        </w:tc>
      </w:tr>
      <w:tr>
        <w:trPr>
          <w:trHeight w:val="1855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Non-Conforming</w:t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Capital Expenditure outside the general business lines of Enron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Capital Expenditure in an industry where Enron has little or no expertise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Capital Expenditure made in a country where Enron has no local expertise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Capital Expenditure made in a country where the overall exposure to the country is excessive</w:t>
            </w:r>
          </w:p>
          <w:p>
            <w:pPr>
              <w:pStyle w:val="BodyTextIndent2"/>
              <w:ind w:hanging="0" w:start="0" w:end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Capital Expenditure made to an entity or within an industry that would result in excessive exposure to that entity or industry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RAC Group will determine if Non-Conforming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EREC (Enron Renewable Energy Corp.) transactions are deemed non-conforming</w:t>
            </w:r>
          </w:p>
        </w:tc>
      </w:tr>
      <w:tr>
        <w:trPr>
          <w:trHeight w:val="240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color w:val="000080"/>
                <w:sz w:val="18"/>
              </w:rPr>
            </w:pPr>
            <w:r>
              <w:rPr>
                <w:rFonts w:cs="Times New Roman" w:ascii="Times New Roman" w:hAnsi="Times New Roman"/>
                <w:b/>
                <w:color w:val="000080"/>
                <w:sz w:val="18"/>
              </w:rPr>
              <w:t>Merchant Portfolio Limit</w:t>
            </w:r>
          </w:p>
        </w:tc>
        <w:tc>
          <w:tcPr>
            <w:tcW w:w="805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The sum of all Merchant transactions less any syndicated amounts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  <w:t>The numerical limit is set forth in the most recent Enron Risk Management and Trading Policy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cs="Times New Roman" w:ascii="Times New Roman" w:hAnsi="Times New Roman"/>
                <w:b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900" w:right="720" w:gutter="0" w:header="1411" w:top="1987" w:footer="360" w:bottom="63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(PCL6)">
    <w:charset w:val="00" w:characterSet="windows-1252"/>
    <w:family w:val="swiss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</w:r>
  </w:p>
  <w:p>
    <w:pPr>
      <w:pStyle w:val="Footer"/>
      <w:rPr>
        <w:sz w:val="12"/>
      </w:rPr>
    </w:pPr>
    <w:r>
      <w:rPr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-552450</wp:posOffset>
              </wp:positionV>
              <wp:extent cx="3877310" cy="86677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8667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rFonts w:ascii="Times New Roman" w:hAnsi="Times New Roman" w:cs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cs="Times New Roman" w:ascii="Times New Roman" w:hAnsi="Times New Roman"/>
                              <w:b/>
                              <w:sz w:val="28"/>
                            </w:rPr>
                            <w:t>Enron Corp. Transaction Approval Process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68.25pt;mso-wrap-distance-left:9.35pt;mso-wrap-distance-right:9.35pt;mso-wrap-distance-top:0pt;mso-wrap-distance-bottom:0pt;margin-top:-43.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rFonts w:ascii="Times New Roman" w:hAnsi="Times New Roman" w:cs="Times New Roman"/>
                        <w:b/>
                        <w:sz w:val="28"/>
                      </w:rPr>
                    </w:pPr>
                    <w:r>
                      <w:rPr>
                        <w:rFonts w:cs="Times New Roman" w:ascii="Times New Roman" w:hAnsi="Times New Roman"/>
                        <w:b/>
                        <w:sz w:val="28"/>
                      </w:rPr>
                      <w:t>Enron Corp. Transaction Approval Process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2160" w:end="0"/>
      <w:outlineLvl w:val="0"/>
    </w:pPr>
    <w:rPr>
      <w:rFonts w:ascii="Arial (PCL6)" w:hAnsi="Arial (PCL6)" w:cs="Arial (PCL6)"/>
      <w:b/>
      <w:sz w:val="1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540"/>
      </w:tabs>
      <w:ind w:firstLine="720" w:start="1440" w:end="0"/>
      <w:outlineLvl w:val="1"/>
    </w:pPr>
    <w:rPr>
      <w:rFonts w:ascii="Arial (PCL6)" w:hAnsi="Arial (PCL6)" w:cs="Arial (PCL6)"/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</w:tabs>
      <w:outlineLvl w:val="3"/>
    </w:pPr>
    <w:rPr>
      <w:rFonts w:ascii="Arial (PCL6)" w:hAnsi="Arial (PCL6)" w:cs="Arial (PCL6)"/>
      <w:b/>
      <w:sz w:val="1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tLeast" w:line="240"/>
      <w:ind w:hanging="0" w:start="144" w:end="144"/>
      <w:outlineLvl w:val="4"/>
    </w:pPr>
    <w:rPr>
      <w:b/>
      <w:color w:val="000080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lineRule="atLeast" w:line="240"/>
      <w:ind w:hanging="0" w:start="144" w:end="144"/>
      <w:jc w:val="both"/>
      <w:outlineLvl w:val="5"/>
    </w:pPr>
    <w:rPr>
      <w:b/>
      <w:color w:val="000080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pacing w:lineRule="atLeast" w:line="240"/>
      <w:ind w:hanging="0" w:start="144" w:end="144"/>
      <w:jc w:val="both"/>
      <w:outlineLvl w:val="6"/>
    </w:pPr>
    <w:rPr>
      <w:b/>
      <w:color w:val="000080"/>
      <w:sz w:val="18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rFonts w:ascii="Arial (PCL6)" w:hAnsi="Arial (PCL6)" w:cs="Arial (PCL6)"/>
      <w:b/>
      <w:sz w:val="2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spacing w:lineRule="atLeast" w:line="240"/>
      <w:ind w:hanging="0" w:start="144" w:end="144"/>
      <w:outlineLvl w:val="8"/>
    </w:pPr>
    <w:rPr>
      <w:rFonts w:ascii="Times New Roman" w:hAnsi="Times New Roman" w:cs="Times New Roman"/>
      <w:b/>
    </w:rPr>
  </w:style>
  <w:style w:type="character" w:styleId="WW8Num1z0">
    <w:name w:val="WW8Num1z0"/>
    <w:qFormat/>
    <w:rPr>
      <w:rFonts w:ascii="Times New Roman" w:hAnsi="Times New Roman" w:cs="Times New Roman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tabs>
        <w:tab w:val="clear" w:pos="540"/>
      </w:tabs>
      <w:spacing w:lineRule="atLeast" w:line="240"/>
      <w:ind w:hanging="0" w:start="0" w:end="144"/>
      <w:jc w:val="both"/>
    </w:pPr>
    <w:rPr>
      <w:color w:val="000080"/>
      <w:sz w:val="18"/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BodyTextIndent">
    <w:name w:val="Body Text Indent"/>
    <w:basedOn w:val="Normal"/>
    <w:pPr>
      <w:ind w:hanging="1440" w:start="1440" w:end="0"/>
    </w:pPr>
    <w:rPr>
      <w:rFonts w:ascii="Arial (PCL6)" w:hAnsi="Arial (PCL6)" w:cs="Arial (PCL6)"/>
      <w:b/>
      <w:sz w:val="18"/>
    </w:rPr>
  </w:style>
  <w:style w:type="paragraph" w:styleId="BodyTextIndent2">
    <w:name w:val="Body Text Indent 2"/>
    <w:basedOn w:val="Normal"/>
    <w:qFormat/>
    <w:pPr>
      <w:ind w:hanging="720" w:start="2160" w:end="0"/>
    </w:pPr>
    <w:rPr>
      <w:rFonts w:ascii="Arial (PCL6)" w:hAnsi="Arial (PCL6)" w:cs="Arial (PCL6)"/>
      <w:b/>
      <w:sz w:val="18"/>
    </w:rPr>
  </w:style>
  <w:style w:type="paragraph" w:styleId="BlockText">
    <w:name w:val="Block Text"/>
    <w:basedOn w:val="Normal"/>
    <w:qFormat/>
    <w:pPr>
      <w:tabs>
        <w:tab w:val="clear" w:pos="540"/>
      </w:tabs>
      <w:spacing w:lineRule="atLeast" w:line="240"/>
      <w:ind w:hanging="0" w:start="180" w:end="144"/>
      <w:jc w:val="both"/>
    </w:pPr>
    <w:rPr>
      <w:color w:val="000080"/>
      <w:sz w:val="18"/>
      <w:lang w:eastAsia="en-US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rFonts w:ascii="Times New Roman" w:hAnsi="Times New Roman" w:cs="Times New Roman"/>
      <w:b/>
      <w:sz w:val="18"/>
    </w:rPr>
  </w:style>
  <w:style w:type="paragraph" w:styleId="BodyTextIndent3">
    <w:name w:val="Body Text Indent 3"/>
    <w:basedOn w:val="Normal"/>
    <w:qFormat/>
    <w:pPr>
      <w:ind w:hanging="0" w:start="3600" w:end="0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Enron Memo.dot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2000-05-16T15:26:00Z</dcterms:created>
  <dc:creator>jweinzi</dc:creator>
  <dc:description/>
  <dc:language>en-CA</dc:language>
  <cp:lastModifiedBy>vgorny</cp:lastModifiedBy>
  <cp:lastPrinted>2000-01-31T10:04:00Z</cp:lastPrinted>
  <dcterms:modified xsi:type="dcterms:W3CDTF">2000-05-16T15:26:00Z</dcterms:modified>
  <cp:revision>2</cp:revision>
  <dc:subject/>
  <dc:title>Create an InterOffice Memo</dc:title>
</cp:coreProperties>
</file>