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b/>
        </w:rPr>
      </w:pPr>
      <w:r>
        <w:rPr>
          <w:b/>
          <w:u w:val="none"/>
        </w:rPr>
        <w:t>[G-P Draft -- 09/14/01]</w:t>
      </w:r>
    </w:p>
    <w:p>
      <w:pPr>
        <w:pStyle w:val="Heading"/>
        <w:rPr>
          <w:b/>
        </w:rPr>
      </w:pPr>
      <w:r>
        <w:rPr>
          <w:b/>
        </w:rPr>
      </w:r>
    </w:p>
    <w:p>
      <w:pPr>
        <w:pStyle w:val="Heading"/>
        <w:rPr>
          <w:b/>
        </w:rPr>
      </w:pPr>
      <w:r>
        <w:rPr>
          <w:b/>
        </w:rPr>
        <w:t>TALL OIL PURCHASE AGREEMENT</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r>
    </w:p>
    <w:p>
      <w:pPr>
        <w:pStyle w:val="BodyText"/>
        <w:jc w:val="both"/>
        <w:rPr/>
      </w:pPr>
      <w:r>
        <w:rPr/>
        <w:tab/>
      </w:r>
      <w:r>
        <w:rPr>
          <w:b/>
        </w:rPr>
        <w:t xml:space="preserve">THIS AGREEMENT </w:t>
      </w:r>
      <w:r>
        <w:rPr/>
        <w:t xml:space="preserve">(the “Agreement”), made effective as of ____________, 2001, (the “Effective Date”), between </w:t>
      </w:r>
      <w:r>
        <w:rPr>
          <w:b/>
        </w:rPr>
        <w:t>NEWCO, LLC.</w:t>
      </w:r>
      <w:r>
        <w:rPr/>
        <w:t xml:space="preserve">, a Delaware limited liability company, having its headquarters at 1400 Smith Street, Houston, TX 77002 (hereinafter called “NewCo”), and </w:t>
      </w:r>
      <w:r>
        <w:rPr>
          <w:b/>
        </w:rPr>
        <w:t>GEORGIA-PACIFIC RESINS, INC.</w:t>
      </w:r>
      <w:r>
        <w:rPr/>
        <w:t>, a Delaware corporation, having its headquarters at One Atlantic Center, 1201 West Peachtree Street, Suite 1201, Atlanta, Georgia 30309 (hereinafter called “GPRI”).</w:t>
      </w:r>
    </w:p>
    <w:p>
      <w:pPr>
        <w:pStyle w:val="BodyText"/>
        <w:jc w:val="both"/>
        <w:rPr/>
      </w:pPr>
      <w:r>
        <w:rPr/>
      </w:r>
    </w:p>
    <w:p>
      <w:pPr>
        <w:pStyle w:val="BodyText"/>
        <w:rPr/>
      </w:pPr>
      <w:r>
        <w:rPr/>
        <w:tab/>
      </w:r>
      <w:r>
        <w:rPr>
          <w:b/>
        </w:rPr>
        <w:t>WHEREAS</w:t>
      </w:r>
      <w:r>
        <w:rPr/>
        <w:t>, GPRI desires that NewCo supply it with all of the Tall Oil (as hereinafter defined) produced at NewCo’s pulp mill located at New Augusta, Mississippi (the “Leaf River Mill”); and</w:t>
      </w:r>
    </w:p>
    <w:p>
      <w:pPr>
        <w:pStyle w:val="Normal"/>
        <w:rPr>
          <w:rFonts w:ascii="Arial" w:hAnsi="Arial" w:cs="Arial"/>
          <w:sz w:val="24"/>
        </w:rPr>
      </w:pPr>
      <w:r>
        <w:rPr>
          <w:rFonts w:cs="Arial" w:ascii="Arial" w:hAnsi="Arial"/>
          <w:sz w:val="24"/>
        </w:rPr>
      </w:r>
    </w:p>
    <w:p>
      <w:pPr>
        <w:pStyle w:val="Normal"/>
        <w:jc w:val="both"/>
        <w:rPr/>
      </w:pPr>
      <w:r>
        <w:rPr>
          <w:rFonts w:cs="Arial" w:ascii="Arial" w:hAnsi="Arial"/>
          <w:sz w:val="24"/>
        </w:rPr>
        <w:tab/>
      </w:r>
      <w:r>
        <w:rPr>
          <w:rFonts w:cs="Arial" w:ascii="Arial" w:hAnsi="Arial"/>
          <w:b/>
          <w:sz w:val="24"/>
        </w:rPr>
        <w:t>WHEREAS</w:t>
      </w:r>
      <w:r>
        <w:rPr>
          <w:rFonts w:cs="Arial" w:ascii="Arial" w:hAnsi="Arial"/>
          <w:sz w:val="24"/>
        </w:rPr>
        <w:t>, NewCo is willing to supply to GPRI all of the Tall Oil produced at the Leaf River Mill pursuant to the terms and conditions of this Agreement;</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ab/>
      </w:r>
      <w:r>
        <w:rPr>
          <w:rFonts w:cs="Arial" w:ascii="Arial" w:hAnsi="Arial"/>
          <w:b/>
          <w:sz w:val="24"/>
        </w:rPr>
        <w:t>NOW, THEREFORE</w:t>
      </w:r>
      <w:r>
        <w:rPr>
          <w:rFonts w:cs="Arial" w:ascii="Arial" w:hAnsi="Arial"/>
          <w:sz w:val="24"/>
        </w:rPr>
        <w:t>, in consideration of the mutual promises and agreements contained herein, the parties hereto agree as follows:</w:t>
      </w:r>
    </w:p>
    <w:p>
      <w:pPr>
        <w:pStyle w:val="Normal"/>
        <w:jc w:val="both"/>
        <w:rPr>
          <w:rFonts w:ascii="Arial" w:hAnsi="Arial" w:cs="Arial"/>
          <w:sz w:val="24"/>
        </w:rPr>
      </w:pPr>
      <w:r>
        <w:rPr>
          <w:rFonts w:cs="Arial" w:ascii="Arial" w:hAnsi="Arial"/>
          <w:sz w:val="24"/>
        </w:rPr>
      </w:r>
    </w:p>
    <w:p>
      <w:pPr>
        <w:pStyle w:val="Heading5"/>
        <w:ind w:hanging="0" w:start="0"/>
        <w:rPr>
          <w:b/>
        </w:rPr>
      </w:pPr>
      <w:r>
        <w:rPr>
          <w:b/>
        </w:rPr>
        <w:t>ARTICLE 1 - DEFINITIONS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Terms used in this Agreement shall have the following respective meanings:</w:t>
      </w:r>
    </w:p>
    <w:p>
      <w:pPr>
        <w:pStyle w:val="Normal"/>
        <w:jc w:val="both"/>
        <w:rPr>
          <w:rFonts w:ascii="Arial" w:hAnsi="Arial" w:cs="Arial"/>
          <w:sz w:val="24"/>
        </w:rPr>
      </w:pPr>
      <w:r>
        <w:rPr>
          <w:rFonts w:cs="Arial" w:ascii="Arial" w:hAnsi="Arial"/>
          <w:sz w:val="24"/>
        </w:rPr>
      </w:r>
    </w:p>
    <w:p>
      <w:pPr>
        <w:pStyle w:val="Normal"/>
        <w:numPr>
          <w:ilvl w:val="1"/>
          <w:numId w:val="4"/>
        </w:numPr>
        <w:jc w:val="both"/>
        <w:rPr>
          <w:rFonts w:ascii="Arial" w:hAnsi="Arial" w:cs="Arial"/>
          <w:sz w:val="24"/>
        </w:rPr>
      </w:pPr>
      <w:r>
        <w:rPr>
          <w:rFonts w:cs="Arial" w:ascii="Arial" w:hAnsi="Arial"/>
          <w:sz w:val="24"/>
        </w:rPr>
        <w:t>“</w:t>
      </w:r>
      <w:r>
        <w:rPr>
          <w:rFonts w:cs="Arial" w:ascii="Arial" w:hAnsi="Arial"/>
          <w:sz w:val="24"/>
        </w:rPr>
        <w:t>Tall Oil” shall mean collectively crude tall oil and black liquor soap;</w:t>
      </w:r>
    </w:p>
    <w:p>
      <w:pPr>
        <w:pStyle w:val="Normal"/>
        <w:jc w:val="both"/>
        <w:rPr>
          <w:rFonts w:ascii="Arial" w:hAnsi="Arial" w:cs="Arial"/>
          <w:sz w:val="24"/>
        </w:rPr>
      </w:pPr>
      <w:r>
        <w:rPr>
          <w:rFonts w:cs="Arial" w:ascii="Arial" w:hAnsi="Arial"/>
          <w:sz w:val="24"/>
        </w:rPr>
      </w:r>
    </w:p>
    <w:p>
      <w:pPr>
        <w:pStyle w:val="BodyTextIndent"/>
        <w:numPr>
          <w:ilvl w:val="1"/>
          <w:numId w:val="4"/>
        </w:numPr>
        <w:jc w:val="both"/>
        <w:rPr/>
      </w:pPr>
      <w:r>
        <w:rPr/>
        <w:t>“</w:t>
      </w:r>
      <w:r>
        <w:rPr/>
        <w:t>Trucks” or “Railcars” shall mean those trucks or railcars owned or hired by GPRI to transport Tall Oil from the Leaf River Mill.</w:t>
      </w:r>
    </w:p>
    <w:p>
      <w:pPr>
        <w:pStyle w:val="Normal"/>
        <w:jc w:val="both"/>
        <w:rPr>
          <w:rFonts w:ascii="Arial" w:hAnsi="Arial" w:cs="Arial"/>
          <w:sz w:val="24"/>
        </w:rPr>
      </w:pPr>
      <w:r>
        <w:rPr>
          <w:rFonts w:cs="Arial" w:ascii="Arial" w:hAnsi="Arial"/>
          <w:sz w:val="24"/>
        </w:rPr>
        <w:tab/>
        <w:tab/>
      </w:r>
    </w:p>
    <w:p>
      <w:pPr>
        <w:pStyle w:val="Normal"/>
        <w:jc w:val="both"/>
        <w:rPr>
          <w:rFonts w:ascii="Arial" w:hAnsi="Arial" w:cs="Arial"/>
          <w:sz w:val="24"/>
        </w:rPr>
      </w:pPr>
      <w:r>
        <w:rPr>
          <w:rFonts w:cs="Arial" w:ascii="Arial" w:hAnsi="Arial"/>
          <w:sz w:val="24"/>
        </w:rPr>
        <w:tab/>
        <w:tab/>
        <w:t>1.3</w:t>
        <w:tab/>
        <w:t>“Effective Date” shall mean _____________, 2001.</w:t>
      </w:r>
    </w:p>
    <w:p>
      <w:pPr>
        <w:pStyle w:val="Normal"/>
        <w:jc w:val="both"/>
        <w:rPr>
          <w:rFonts w:ascii="Arial" w:hAnsi="Arial" w:cs="Arial"/>
          <w:sz w:val="24"/>
        </w:rPr>
      </w:pPr>
      <w:r>
        <w:rPr>
          <w:rFonts w:cs="Arial" w:ascii="Arial" w:hAnsi="Arial"/>
          <w:sz w:val="24"/>
        </w:rPr>
      </w:r>
    </w:p>
    <w:p>
      <w:pPr>
        <w:pStyle w:val="Heading6"/>
        <w:ind w:hanging="0" w:start="0"/>
        <w:rPr/>
      </w:pPr>
      <w:r>
        <w:rPr/>
        <w:t>ARTICLE 2 - QUANTITY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Beginning on the Effective Date of this Agreement, NewCo agrees to sell, or to cause to be sold, and GPRI agrees to purchase, or to cause to be purchased, One Hundred Percent (100%) of the Tall Oil produced in or at the Leaf River Mill.</w:t>
      </w:r>
    </w:p>
    <w:p>
      <w:pPr>
        <w:pStyle w:val="Normal"/>
        <w:jc w:val="both"/>
        <w:rPr>
          <w:rFonts w:ascii="Arial" w:hAnsi="Arial" w:cs="Arial"/>
          <w:sz w:val="24"/>
        </w:rPr>
      </w:pPr>
      <w:r>
        <w:rPr>
          <w:rFonts w:cs="Arial" w:ascii="Arial" w:hAnsi="Arial"/>
          <w:sz w:val="24"/>
        </w:rPr>
      </w:r>
    </w:p>
    <w:p>
      <w:pPr>
        <w:pStyle w:val="Heading6"/>
        <w:ind w:hanging="0" w:start="0"/>
        <w:rPr/>
      </w:pPr>
      <w:r>
        <w:rPr/>
        <w:t>ARTICLE 3 - TERM</w:t>
      </w:r>
    </w:p>
    <w:p>
      <w:pPr>
        <w:pStyle w:val="Normal"/>
        <w:jc w:val="both"/>
        <w:rPr>
          <w:rFonts w:ascii="Arial" w:hAnsi="Arial" w:cs="Arial"/>
          <w:sz w:val="24"/>
        </w:rPr>
      </w:pPr>
      <w:r>
        <w:rPr>
          <w:rFonts w:cs="Arial" w:ascii="Arial" w:hAnsi="Arial"/>
          <w:sz w:val="24"/>
        </w:rPr>
      </w:r>
    </w:p>
    <w:p>
      <w:pPr>
        <w:pStyle w:val="Normal"/>
        <w:numPr>
          <w:ilvl w:val="1"/>
          <w:numId w:val="9"/>
        </w:numPr>
        <w:tabs>
          <w:tab w:val="clear" w:pos="720"/>
          <w:tab w:val="left" w:pos="90" w:leader="none"/>
        </w:tabs>
        <w:ind w:firstLine="720" w:start="0" w:end="0"/>
        <w:jc w:val="both"/>
        <w:rPr>
          <w:rFonts w:ascii="Arial" w:hAnsi="Arial" w:cs="Arial"/>
          <w:sz w:val="24"/>
        </w:rPr>
      </w:pPr>
      <w:r>
        <w:rPr>
          <w:rFonts w:cs="Arial" w:ascii="Arial" w:hAnsi="Arial"/>
          <w:sz w:val="24"/>
        </w:rPr>
        <w:t>Deliveries pursuant to this Agreement shall commence on the Effective Date, the parties acknowledging that Tall Oil has previously been sold by the Leaf River Mill to GPRI pursuant to prior oral agreements.  This Agreement shall remain in effect for a minimum period of ten (10) years from the Effective Date, and shall remain in effect thereafter, unless earlier or otherwise terminated pursuant to other provisions of this Agreement.  Either party may terminate this Agreement upon two (2) years prior written notice to the other party, provided that such notice is sent no earlier than the eighth  anniversary of the Effective Date of this Agreement, with the effective date of termination being no earlier than the tenth anniversary of the Effective Date of this Agreement. During the time from the date of the notice to the date of this Agreement’s termination, this Agreement shall remain in full force and effect.</w:t>
      </w:r>
    </w:p>
    <w:p>
      <w:pPr>
        <w:pStyle w:val="Normal"/>
        <w:ind w:start="720" w:end="0"/>
        <w:jc w:val="both"/>
        <w:rPr>
          <w:rFonts w:ascii="Arial" w:hAnsi="Arial" w:cs="Arial"/>
          <w:sz w:val="24"/>
        </w:rPr>
      </w:pPr>
      <w:r>
        <w:rPr>
          <w:rFonts w:cs="Arial" w:ascii="Arial" w:hAnsi="Arial"/>
          <w:sz w:val="24"/>
        </w:rPr>
      </w:r>
    </w:p>
    <w:p>
      <w:pPr>
        <w:pStyle w:val="Normal"/>
        <w:numPr>
          <w:ilvl w:val="1"/>
          <w:numId w:val="9"/>
        </w:numPr>
        <w:tabs>
          <w:tab w:val="clear" w:pos="720"/>
          <w:tab w:val="left" w:pos="0" w:leader="none"/>
        </w:tabs>
        <w:ind w:firstLine="720" w:start="0" w:end="0"/>
        <w:jc w:val="both"/>
        <w:rPr>
          <w:rFonts w:ascii="Arial" w:hAnsi="Arial" w:cs="Arial"/>
          <w:sz w:val="24"/>
        </w:rPr>
      </w:pPr>
      <w:r>
        <w:rPr>
          <w:rFonts w:cs="Arial" w:ascii="Arial" w:hAnsi="Arial"/>
          <w:sz w:val="24"/>
        </w:rPr>
        <w:t>Notwithstanding the foregoing, this Agreement may be terminated at any time by GPRI with at least one (1) year’s prior written notice to NewCo only in the event that GPRI elects to cease completely the sale and utilization of Tall Oil and products utilizing Tall Oil. During the time from the date of the notice to the date of this Agreement’s termination, this Agreement shall remain in full force and effect.</w:t>
      </w:r>
    </w:p>
    <w:p>
      <w:pPr>
        <w:pStyle w:val="Normal"/>
        <w:jc w:val="both"/>
        <w:rPr>
          <w:rFonts w:ascii="Arial" w:hAnsi="Arial" w:cs="Arial"/>
          <w:sz w:val="24"/>
        </w:rPr>
      </w:pPr>
      <w:r>
        <w:rPr>
          <w:rFonts w:cs="Arial" w:ascii="Arial" w:hAnsi="Arial"/>
          <w:sz w:val="24"/>
        </w:rPr>
      </w:r>
    </w:p>
    <w:p>
      <w:pPr>
        <w:pStyle w:val="BodyText3"/>
        <w:numPr>
          <w:ilvl w:val="1"/>
          <w:numId w:val="9"/>
        </w:numPr>
        <w:tabs>
          <w:tab w:val="clear" w:pos="720"/>
          <w:tab w:val="left" w:pos="0" w:leader="none"/>
        </w:tabs>
        <w:ind w:firstLine="720" w:start="0" w:end="0"/>
        <w:rPr>
          <w:rFonts w:ascii="Arial" w:hAnsi="Arial" w:cs="Arial"/>
        </w:rPr>
      </w:pPr>
      <w:r>
        <w:rPr>
          <w:rFonts w:cs="Arial" w:ascii="Arial" w:hAnsi="Arial"/>
        </w:rPr>
        <w:t>In addition to the above, either party shall have the right to terminate this Agreement for cause by giving written notice to the other party, which termination shall be effective on the date specified in such notice, in accordance with this Agreement, if either of the following occurs:</w:t>
      </w:r>
    </w:p>
    <w:p>
      <w:pPr>
        <w:pStyle w:val="Normal"/>
        <w:jc w:val="both"/>
        <w:rPr>
          <w:rFonts w:ascii="Arial" w:hAnsi="Arial" w:cs="Arial"/>
          <w:sz w:val="24"/>
        </w:rPr>
      </w:pPr>
      <w:r>
        <w:rPr>
          <w:rFonts w:cs="Arial" w:ascii="Arial" w:hAnsi="Arial"/>
          <w:sz w:val="24"/>
        </w:rPr>
      </w:r>
    </w:p>
    <w:p>
      <w:pPr>
        <w:pStyle w:val="BodyTextIndent"/>
        <w:ind w:hanging="720" w:end="0"/>
        <w:jc w:val="both"/>
        <w:rPr/>
      </w:pPr>
      <w:r>
        <w:rPr/>
        <w:t>(a)</w:t>
        <w:tab/>
        <w:t>The other party fails to comply with any material provision of this Agreement and fails to remedy or cure such failure within sixty (60) days after receipt of written notice of such failure, or if such failure cannot be remedied or cured within such sixty (60) day period, if the other party does not commence to correct such failure within such sixty (60) day period and thereafter diligently prosecute the correction of such failure to completion within a reasonable time; except in the event the failure to comply relates to a failure to make timely payment, in which event, the failing party shall have ten (10) days after receipt of written notice of such failure to remedy or cure such failure; provided, however, that neither contesting in good faith the quality of the Tall Oil nor the withholding of amounts owed under Articles 5 and 8 hereof in connection with a good faith dispute concerning the Tall Oil shall be considered a failure to comply with a material provision for purposes of this subsection; or</w:t>
      </w:r>
    </w:p>
    <w:p>
      <w:pPr>
        <w:pStyle w:val="Normal"/>
        <w:ind w:start="720" w:end="0"/>
        <w:jc w:val="both"/>
        <w:rPr>
          <w:rFonts w:ascii="Arial" w:hAnsi="Arial" w:cs="Arial"/>
          <w:sz w:val="24"/>
        </w:rPr>
      </w:pPr>
      <w:r>
        <w:rPr>
          <w:rFonts w:cs="Arial" w:ascii="Arial" w:hAnsi="Arial"/>
          <w:sz w:val="24"/>
        </w:rPr>
      </w:r>
    </w:p>
    <w:p>
      <w:pPr>
        <w:pStyle w:val="Normal"/>
        <w:ind w:hanging="720" w:start="2160" w:end="0"/>
        <w:jc w:val="both"/>
        <w:rPr>
          <w:rFonts w:ascii="Arial" w:hAnsi="Arial" w:cs="Arial"/>
          <w:sz w:val="24"/>
        </w:rPr>
      </w:pPr>
      <w:r>
        <w:rPr>
          <w:rFonts w:cs="Arial" w:ascii="Arial" w:hAnsi="Arial"/>
          <w:sz w:val="24"/>
        </w:rPr>
        <w:t>(b)</w:t>
        <w:tab/>
        <w:t>The other party becomes insolvent or otherwise unable to pay its debts as they mature, or a petition under federal or state bankruptcy or receivership laws is filed by or against the other party which is not dismissed within sixty (60) days after its filing.</w:t>
      </w:r>
    </w:p>
    <w:p>
      <w:pPr>
        <w:pStyle w:val="Normal"/>
        <w:jc w:val="both"/>
        <w:rPr>
          <w:rFonts w:ascii="Arial" w:hAnsi="Arial" w:cs="Arial"/>
          <w:sz w:val="24"/>
        </w:rPr>
      </w:pPr>
      <w:r>
        <w:rPr>
          <w:rFonts w:cs="Arial" w:ascii="Arial" w:hAnsi="Arial"/>
          <w:sz w:val="24"/>
        </w:rPr>
      </w:r>
    </w:p>
    <w:p>
      <w:pPr>
        <w:pStyle w:val="Normal"/>
        <w:numPr>
          <w:ilvl w:val="1"/>
          <w:numId w:val="9"/>
        </w:numPr>
        <w:tabs>
          <w:tab w:val="clear" w:pos="720"/>
          <w:tab w:val="left" w:pos="0" w:leader="none"/>
        </w:tabs>
        <w:ind w:firstLine="720" w:start="0" w:end="0"/>
        <w:jc w:val="both"/>
        <w:rPr>
          <w:rFonts w:ascii="Arial" w:hAnsi="Arial" w:cs="Arial"/>
          <w:sz w:val="24"/>
        </w:rPr>
      </w:pPr>
      <w:r>
        <w:rPr>
          <w:rFonts w:cs="Arial" w:ascii="Arial" w:hAnsi="Arial"/>
          <w:sz w:val="24"/>
        </w:rPr>
        <w:t>Termination under the provisions of this Article 3 shall be without prejudice to the rights of the parties with respect to any previous failure to comply, and shall give the terminating party the right to exercise any of its other rights or remedies at law or equity.  Upon expiration or termination of this Agreement, all amounts due from GPRI to NewCo pursuant to this Agreement shall become immediately due and payable.</w:t>
      </w:r>
    </w:p>
    <w:p>
      <w:pPr>
        <w:pStyle w:val="Normal"/>
        <w:jc w:val="both"/>
        <w:rPr>
          <w:rFonts w:ascii="Arial" w:hAnsi="Arial" w:cs="Arial"/>
          <w:sz w:val="24"/>
        </w:rPr>
      </w:pPr>
      <w:r>
        <w:rPr>
          <w:rFonts w:cs="Arial" w:ascii="Arial" w:hAnsi="Arial"/>
          <w:sz w:val="24"/>
        </w:rPr>
      </w:r>
    </w:p>
    <w:p>
      <w:pPr>
        <w:pStyle w:val="Heading6"/>
        <w:keepLines/>
        <w:ind w:hanging="0" w:start="0"/>
        <w:rPr/>
      </w:pPr>
      <w:r>
        <w:rPr/>
        <w:t>ARTICLE 4 - QUALITY</w:t>
      </w:r>
    </w:p>
    <w:p>
      <w:pPr>
        <w:pStyle w:val="Normal"/>
        <w:keepNext w:val="true"/>
        <w:keepLines/>
        <w:jc w:val="both"/>
        <w:rPr>
          <w:rFonts w:ascii="Arial" w:hAnsi="Arial" w:cs="Arial"/>
          <w:sz w:val="24"/>
        </w:rPr>
      </w:pPr>
      <w:r>
        <w:rPr>
          <w:rFonts w:cs="Arial" w:ascii="Arial" w:hAnsi="Arial"/>
          <w:sz w:val="24"/>
        </w:rPr>
      </w:r>
    </w:p>
    <w:p>
      <w:pPr>
        <w:pStyle w:val="Normal"/>
        <w:keepNext w:val="true"/>
        <w:keepLines/>
        <w:numPr>
          <w:ilvl w:val="1"/>
          <w:numId w:val="7"/>
        </w:numPr>
        <w:tabs>
          <w:tab w:val="clear" w:pos="720"/>
          <w:tab w:val="left" w:pos="0" w:leader="none"/>
        </w:tabs>
        <w:ind w:firstLine="720" w:start="0" w:end="0"/>
        <w:jc w:val="both"/>
        <w:rPr>
          <w:rFonts w:ascii="Arial" w:hAnsi="Arial" w:cs="Arial"/>
          <w:sz w:val="24"/>
        </w:rPr>
      </w:pPr>
      <w:r>
        <w:rPr>
          <w:rFonts w:cs="Arial" w:ascii="Arial" w:hAnsi="Arial"/>
          <w:sz w:val="24"/>
        </w:rPr>
        <w:t>The Tall Oil shall conform to the specifications (“the Specifications”) which are set forth on  Exhibit A attached hereto and made a part hereof.</w:t>
      </w:r>
    </w:p>
    <w:p>
      <w:pPr>
        <w:pStyle w:val="Normal"/>
        <w:ind w:start="720" w:end="0"/>
        <w:jc w:val="both"/>
        <w:rPr>
          <w:rFonts w:ascii="Arial" w:hAnsi="Arial" w:cs="Arial"/>
          <w:sz w:val="24"/>
        </w:rPr>
      </w:pPr>
      <w:r>
        <w:rPr>
          <w:rFonts w:cs="Arial" w:ascii="Arial" w:hAnsi="Arial"/>
          <w:sz w:val="24"/>
        </w:rPr>
      </w:r>
    </w:p>
    <w:p>
      <w:pPr>
        <w:pStyle w:val="Normal"/>
        <w:numPr>
          <w:ilvl w:val="1"/>
          <w:numId w:val="7"/>
        </w:numPr>
        <w:tabs>
          <w:tab w:val="clear" w:pos="720"/>
          <w:tab w:val="left" w:pos="0" w:leader="none"/>
        </w:tabs>
        <w:ind w:firstLine="720" w:start="0" w:end="0"/>
        <w:jc w:val="both"/>
        <w:rPr>
          <w:rFonts w:ascii="Arial" w:hAnsi="Arial" w:cs="Arial"/>
          <w:sz w:val="24"/>
        </w:rPr>
      </w:pPr>
      <w:r>
        <w:rPr>
          <w:rFonts w:cs="Arial" w:ascii="Arial" w:hAnsi="Arial"/>
          <w:sz w:val="24"/>
        </w:rPr>
        <w:t>EXCEPT FOR ITS WARRANTY OF TITLE, THE FOREGOING WARRANTY IN SECTION 4.1 IS EXCLUSIVE, AND NEWCO MAKES NO FURTHER WARRANTY OF ANY KIND, WHETHER WRITTEN, ORAL, EXPRESS OR IMPLIED, RELATING TO THE TALL OIL, WHETHER USED ALONE OR IN COMBINATION WITH OTHER SUBSTANCES.  NEWCO SPECIFICALLY DISCLAIMS ALL OTHER EXPRESS OR IMPLIED WARRANTIES OF ANY KIND, INCLUDING, BUT NOT LIMITED TO, THE IMPLIED WARRANTY OF FITNESS FOR A PARTICULAR PURPOSE AND THE IMPLIED WARRANTY OF MERCHANTABILITY.  GPRI’S REMEDIES FOR BREACH OF NEWCO’S WARRANTY SHALL BE LIMITED TO THOSE REMEDIES DESCRIBED IN SECTION 4.5.</w:t>
      </w:r>
    </w:p>
    <w:p>
      <w:pPr>
        <w:pStyle w:val="Normal"/>
        <w:jc w:val="both"/>
        <w:rPr>
          <w:rFonts w:ascii="Arial" w:hAnsi="Arial" w:cs="Arial"/>
          <w:sz w:val="24"/>
        </w:rPr>
      </w:pPr>
      <w:r>
        <w:rPr>
          <w:rFonts w:cs="Arial" w:ascii="Arial" w:hAnsi="Arial"/>
          <w:sz w:val="24"/>
        </w:rPr>
      </w:r>
    </w:p>
    <w:p>
      <w:pPr>
        <w:pStyle w:val="Normal"/>
        <w:numPr>
          <w:ilvl w:val="1"/>
          <w:numId w:val="7"/>
        </w:numPr>
        <w:tabs>
          <w:tab w:val="clear" w:pos="720"/>
          <w:tab w:val="left" w:pos="0" w:leader="none"/>
        </w:tabs>
        <w:ind w:firstLine="720" w:start="0" w:end="0"/>
        <w:jc w:val="both"/>
        <w:rPr>
          <w:rFonts w:ascii="Arial" w:hAnsi="Arial" w:cs="Arial"/>
          <w:sz w:val="24"/>
        </w:rPr>
      </w:pPr>
      <w:r>
        <w:rPr>
          <w:rFonts w:cs="Arial" w:ascii="Arial" w:hAnsi="Arial"/>
          <w:sz w:val="24"/>
        </w:rPr>
        <w:t xml:space="preserve">All Tall Oil sold hereunder shall be covered only by the express warranty set forth in Section 4.1 above and Section 4.4 below.  Determination of the suitability of the Tall Oil for the uses and applications contemplated by GPRI shall be the sole responsibility of GPRI.  GPRI assumes all risks and liabilities for results obtained by the use of the Tall Oil, whether used singly or in combination with other materials, except those relating solely to the use of Tall Oil supplied by NewCo which do not conform to the warranty set forth in this Article 4. GPRI shall be solely responsible for any warranties granted to GPRI’s customers and shall indemnify NewCo against liability therefor. </w:t>
      </w:r>
    </w:p>
    <w:p>
      <w:pPr>
        <w:pStyle w:val="Normal"/>
        <w:ind w:start="72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4.4</w:t>
        <w:tab/>
        <w:t>NewCo represents and warrants to GPRI that the Tall Oil sold hereunder shall be owned by NewCo free and clear of all liens, claims and encumbrances.</w:t>
      </w:r>
    </w:p>
    <w:p>
      <w:pPr>
        <w:pStyle w:val="Normal"/>
        <w:jc w:val="both"/>
        <w:rPr>
          <w:rFonts w:ascii="Arial" w:hAnsi="Arial" w:cs="Arial"/>
          <w:sz w:val="24"/>
        </w:rPr>
      </w:pPr>
      <w:r>
        <w:rPr>
          <w:rFonts w:cs="Arial" w:ascii="Arial" w:hAnsi="Arial"/>
          <w:sz w:val="24"/>
        </w:rPr>
      </w:r>
    </w:p>
    <w:p>
      <w:pPr>
        <w:pStyle w:val="Normal"/>
        <w:numPr>
          <w:ilvl w:val="1"/>
          <w:numId w:val="3"/>
        </w:numPr>
        <w:tabs>
          <w:tab w:val="clear" w:pos="720"/>
          <w:tab w:val="left" w:pos="0" w:leader="none"/>
        </w:tabs>
        <w:ind w:firstLine="720" w:start="0" w:end="0"/>
        <w:jc w:val="both"/>
        <w:rPr>
          <w:rFonts w:ascii="Arial" w:hAnsi="Arial" w:cs="Arial"/>
          <w:sz w:val="24"/>
        </w:rPr>
      </w:pPr>
      <w:r>
        <w:rPr>
          <w:rFonts w:cs="Arial" w:ascii="Arial" w:hAnsi="Arial"/>
          <w:sz w:val="24"/>
        </w:rPr>
        <w:t>In the event that any Tall Oil sold or purchased hereunder does not meet the Specifications, GPRI may either reject the Tall Oil pursuant to Section 4.6 hereof, or assess a reasonable “off-spec” charge in accordance with the CTO Pricing Structure set forth on Exhibit B attached hereto and made a part hereof.   GPRI may set-off the amount of such off-spec charge against sums otherwise due and payable by GPRI to NewCo hereunder.</w:t>
      </w:r>
    </w:p>
    <w:p>
      <w:pPr>
        <w:pStyle w:val="BodyTextIndent2"/>
        <w:spacing w:lineRule="auto" w:line="240"/>
        <w:ind w:firstLine="1440" w:start="0" w:end="0"/>
        <w:rPr>
          <w:rFonts w:ascii="Arial" w:hAnsi="Arial" w:cs="Arial"/>
          <w:sz w:val="24"/>
        </w:rPr>
      </w:pPr>
      <w:r>
        <w:rPr>
          <w:rFonts w:cs="Arial" w:ascii="Arial" w:hAnsi="Arial"/>
          <w:sz w:val="24"/>
        </w:rPr>
      </w:r>
    </w:p>
    <w:p>
      <w:pPr>
        <w:pStyle w:val="Normal"/>
        <w:numPr>
          <w:ilvl w:val="1"/>
          <w:numId w:val="3"/>
        </w:numPr>
        <w:tabs>
          <w:tab w:val="clear" w:pos="720"/>
          <w:tab w:val="left" w:pos="0" w:leader="none"/>
        </w:tabs>
        <w:ind w:firstLine="720" w:start="0" w:end="0"/>
        <w:jc w:val="both"/>
        <w:rPr>
          <w:rFonts w:ascii="Arial" w:hAnsi="Arial" w:cs="Arial"/>
          <w:sz w:val="24"/>
        </w:rPr>
      </w:pPr>
      <w:r>
        <w:rPr>
          <w:rFonts w:cs="Arial" w:ascii="Arial" w:hAnsi="Arial"/>
          <w:sz w:val="24"/>
        </w:rPr>
        <w:t>If GPRI believes that the Tall Oil fails to comply with NewCo’s warranty in Section 4.1 above, and GPRI chooses to reject the Tall Oil (as opposed to assess an “off-spec” charge in accordance with Section 4.5 hereof) GPRI shall give NewCo written notice of rejection within eighty-six (86) hours after receipt of such Tall Oil at its final destination point.  GPRI’s rejection notice shall state with particularity all defects ascertainable at the time notice is given. In the event NewCo disputes any item contained in the written notice of rejection, NewCo shall so notify GPRI within twenty-four (24) hours of NewCo’s receipt of the rejection notice, in which event, GPRI shall hold all rejected Tall Oil for inspection by NewCo.  If the Tall Oil is found to conform to NewCo’s warranty, demurrage and related costs shall be for GPRI’s account.  If the Tall Oil is found not to conform to NewCo’s warranty, demurrage and related costs shall be for NewCo’s account.</w:t>
      </w:r>
    </w:p>
    <w:p>
      <w:pPr>
        <w:pStyle w:val="Normal"/>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Heading6"/>
        <w:ind w:hanging="0" w:start="0"/>
        <w:rPr/>
      </w:pPr>
      <w:r>
        <w:rPr/>
        <w:t>ARTICLE 5 – PRICE</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 w:val="left" w:pos="0" w:leader="none"/>
        </w:tabs>
        <w:ind w:firstLine="720" w:start="0" w:end="0"/>
        <w:jc w:val="both"/>
        <w:rPr>
          <w:rFonts w:ascii="Arial" w:hAnsi="Arial" w:cs="Arial"/>
          <w:sz w:val="24"/>
        </w:rPr>
      </w:pPr>
      <w:r>
        <w:rPr>
          <w:rFonts w:cs="Arial" w:ascii="Arial" w:hAnsi="Arial"/>
          <w:sz w:val="24"/>
        </w:rPr>
        <w:t xml:space="preserve">The price to be paid to NewCo for all Tall Oil purchases beginning on the Effective Date shall be the midpoint price published in the </w:t>
      </w:r>
      <w:r>
        <w:rPr>
          <w:rFonts w:cs="Arial" w:ascii="Arial" w:hAnsi="Arial"/>
          <w:sz w:val="24"/>
          <w:u w:val="single"/>
        </w:rPr>
        <w:t>Chemical Marketing Reporter</w:t>
      </w:r>
      <w:r>
        <w:rPr>
          <w:rFonts w:cs="Arial" w:ascii="Arial" w:hAnsi="Arial"/>
          <w:sz w:val="24"/>
        </w:rPr>
        <w:t xml:space="preserve"> (the “Index”) in the first issue published in each of the months of March, June, September and December during the term of this Agreement.  The price published in March shall reflect pricing for the second quarter of the year.  The price published in June will reflect pricing for the third quarter of the year.  The price published in September will reflect pricing for the fourth quarter of the year.  The price published in December will reflect pricing for the first quarter of the following year.  The price shall be fixed for each quarterly period during the term of this Agreement.</w:t>
      </w:r>
    </w:p>
    <w:p>
      <w:pPr>
        <w:pStyle w:val="Normal"/>
        <w:ind w:start="720" w:end="0"/>
        <w:jc w:val="both"/>
        <w:rPr>
          <w:rFonts w:ascii="Arial" w:hAnsi="Arial" w:cs="Arial"/>
          <w:sz w:val="24"/>
        </w:rPr>
      </w:pPr>
      <w:r>
        <w:rPr>
          <w:rFonts w:cs="Arial" w:ascii="Arial" w:hAnsi="Arial"/>
          <w:sz w:val="24"/>
        </w:rPr>
      </w:r>
    </w:p>
    <w:p>
      <w:pPr>
        <w:pStyle w:val="Normal"/>
        <w:numPr>
          <w:ilvl w:val="1"/>
          <w:numId w:val="8"/>
        </w:numPr>
        <w:tabs>
          <w:tab w:val="clear" w:pos="720"/>
          <w:tab w:val="left" w:pos="0" w:leader="none"/>
        </w:tabs>
        <w:ind w:firstLine="720" w:start="0" w:end="0"/>
        <w:jc w:val="both"/>
        <w:rPr>
          <w:rFonts w:ascii="Arial" w:hAnsi="Arial" w:cs="Arial"/>
          <w:sz w:val="24"/>
        </w:rPr>
      </w:pPr>
      <w:r>
        <w:rPr>
          <w:rFonts w:cs="Arial" w:ascii="Arial" w:hAnsi="Arial"/>
          <w:sz w:val="24"/>
        </w:rPr>
        <w:t>In the event that the basis for the Index is altered, NewCo and GPRI will price the Tall Oil to most accurately reflect the intent of the parties as of the Effective Date.  In the event that the Index is no longer published, the parties will price the Tall Oil based upon the alternative index that most closely matches the Index.</w:t>
      </w:r>
    </w:p>
    <w:p>
      <w:pPr>
        <w:pStyle w:val="Normal"/>
        <w:ind w:start="720" w:end="0"/>
        <w:jc w:val="both"/>
        <w:rPr>
          <w:rFonts w:ascii="Arial" w:hAnsi="Arial" w:cs="Arial"/>
          <w:sz w:val="24"/>
        </w:rPr>
      </w:pPr>
      <w:r>
        <w:rPr>
          <w:rFonts w:cs="Arial" w:ascii="Arial" w:hAnsi="Arial"/>
          <w:sz w:val="24"/>
        </w:rPr>
      </w:r>
    </w:p>
    <w:p>
      <w:pPr>
        <w:pStyle w:val="Heading6"/>
        <w:ind w:hanging="0" w:start="0"/>
        <w:rPr/>
      </w:pPr>
      <w:r>
        <w:rPr/>
        <w:t>ARTICLE 6 - DELIVERY AND TITLE</w:t>
      </w:r>
    </w:p>
    <w:p>
      <w:pPr>
        <w:pStyle w:val="Normal"/>
        <w:jc w:val="both"/>
        <w:rPr>
          <w:rFonts w:ascii="Arial" w:hAnsi="Arial" w:cs="Arial"/>
          <w:sz w:val="24"/>
        </w:rPr>
      </w:pPr>
      <w:r>
        <w:rPr>
          <w:rFonts w:cs="Arial" w:ascii="Arial" w:hAnsi="Arial"/>
          <w:sz w:val="24"/>
        </w:rPr>
      </w:r>
    </w:p>
    <w:p>
      <w:pPr>
        <w:pStyle w:val="Normal"/>
        <w:numPr>
          <w:ilvl w:val="1"/>
          <w:numId w:val="6"/>
        </w:numPr>
        <w:tabs>
          <w:tab w:val="clear" w:pos="720"/>
          <w:tab w:val="left" w:pos="0" w:leader="none"/>
        </w:tabs>
        <w:ind w:firstLine="720" w:start="0" w:end="0"/>
        <w:jc w:val="both"/>
        <w:rPr>
          <w:rFonts w:ascii="Arial" w:hAnsi="Arial" w:cs="Arial"/>
          <w:sz w:val="24"/>
        </w:rPr>
      </w:pPr>
      <w:r>
        <w:rPr>
          <w:rFonts w:cs="Arial" w:ascii="Arial" w:hAnsi="Arial"/>
          <w:sz w:val="24"/>
        </w:rPr>
        <w:t>The Tall Oil will be delivered to GPRI, FCA (Incoterms 2000) the NewCo Mill, and will be loaded onto Trucks or Railcars by NewCo as directed by GPRI.</w:t>
      </w:r>
    </w:p>
    <w:p>
      <w:pPr>
        <w:pStyle w:val="Normal"/>
        <w:ind w:start="720" w:end="0"/>
        <w:jc w:val="both"/>
        <w:rPr>
          <w:rFonts w:ascii="Arial" w:hAnsi="Arial" w:cs="Arial"/>
          <w:sz w:val="24"/>
        </w:rPr>
      </w:pPr>
      <w:r>
        <w:rPr>
          <w:rFonts w:cs="Arial" w:ascii="Arial" w:hAnsi="Arial"/>
          <w:sz w:val="24"/>
        </w:rPr>
      </w:r>
    </w:p>
    <w:p>
      <w:pPr>
        <w:pStyle w:val="Normal"/>
        <w:numPr>
          <w:ilvl w:val="1"/>
          <w:numId w:val="6"/>
        </w:numPr>
        <w:tabs>
          <w:tab w:val="clear" w:pos="720"/>
          <w:tab w:val="left" w:pos="0" w:leader="none"/>
        </w:tabs>
        <w:ind w:firstLine="720" w:start="0" w:end="0"/>
        <w:jc w:val="both"/>
        <w:rPr>
          <w:rFonts w:ascii="Arial" w:hAnsi="Arial" w:cs="Arial"/>
          <w:sz w:val="24"/>
        </w:rPr>
      </w:pPr>
      <w:r>
        <w:rPr>
          <w:rFonts w:cs="Arial" w:ascii="Arial" w:hAnsi="Arial"/>
          <w:sz w:val="24"/>
        </w:rPr>
        <w:t>Title, and all risk of loss, damage or destruction to the Tall Oil shall pass to GPRI as and when the Tall Oil leaves the Leaf River Mill.</w:t>
      </w:r>
    </w:p>
    <w:p>
      <w:pPr>
        <w:pStyle w:val="Normal"/>
        <w:jc w:val="both"/>
        <w:rPr>
          <w:rFonts w:ascii="Arial" w:hAnsi="Arial" w:cs="Arial"/>
          <w:sz w:val="24"/>
        </w:rPr>
      </w:pPr>
      <w:r>
        <w:rPr>
          <w:rFonts w:cs="Arial" w:ascii="Arial" w:hAnsi="Arial"/>
          <w:sz w:val="24"/>
        </w:rPr>
      </w:r>
    </w:p>
    <w:p>
      <w:pPr>
        <w:pStyle w:val="Normal"/>
        <w:numPr>
          <w:ilvl w:val="1"/>
          <w:numId w:val="6"/>
        </w:numPr>
        <w:ind w:firstLine="720" w:start="0" w:end="0"/>
        <w:jc w:val="both"/>
        <w:rPr>
          <w:rFonts w:ascii="Arial" w:hAnsi="Arial" w:cs="Arial"/>
          <w:sz w:val="24"/>
        </w:rPr>
      </w:pPr>
      <w:r>
        <w:rPr>
          <w:rFonts w:cs="Arial" w:ascii="Arial" w:hAnsi="Arial"/>
          <w:sz w:val="24"/>
        </w:rPr>
        <w:t>GPRI shall be responsible to ensure that the Trucks or Railcars are properly outfitted and equipped to be able to receive the appropriate amount of Tall Oil.</w:t>
      </w:r>
    </w:p>
    <w:p>
      <w:pPr>
        <w:pStyle w:val="Normal"/>
        <w:jc w:val="both"/>
        <w:rPr>
          <w:rFonts w:ascii="Arial" w:hAnsi="Arial" w:cs="Arial"/>
          <w:sz w:val="24"/>
        </w:rPr>
      </w:pPr>
      <w:r>
        <w:rPr>
          <w:rFonts w:cs="Arial" w:ascii="Arial" w:hAnsi="Arial"/>
          <w:sz w:val="24"/>
        </w:rPr>
      </w:r>
    </w:p>
    <w:p>
      <w:pPr>
        <w:pStyle w:val="Normal"/>
        <w:numPr>
          <w:ilvl w:val="1"/>
          <w:numId w:val="6"/>
        </w:numPr>
        <w:ind w:firstLine="720" w:start="0" w:end="0"/>
        <w:jc w:val="both"/>
        <w:rPr>
          <w:rFonts w:ascii="Arial" w:hAnsi="Arial" w:cs="Arial"/>
          <w:sz w:val="24"/>
        </w:rPr>
      </w:pPr>
      <w:r>
        <w:rPr>
          <w:rFonts w:cs="Arial" w:ascii="Arial" w:hAnsi="Arial"/>
          <w:sz w:val="24"/>
        </w:rPr>
        <w:t>GPRI’s weights, quantities and quality analysis shall govern unless established to be incorrect.</w:t>
      </w:r>
    </w:p>
    <w:p>
      <w:pPr>
        <w:pStyle w:val="Normal"/>
        <w:jc w:val="both"/>
        <w:rPr>
          <w:rFonts w:ascii="Arial" w:hAnsi="Arial" w:cs="Arial"/>
          <w:sz w:val="24"/>
        </w:rPr>
      </w:pPr>
      <w:r>
        <w:rPr>
          <w:rFonts w:cs="Arial" w:ascii="Arial" w:hAnsi="Arial"/>
          <w:sz w:val="24"/>
        </w:rPr>
      </w:r>
    </w:p>
    <w:p>
      <w:pPr>
        <w:pStyle w:val="Normal"/>
        <w:numPr>
          <w:ilvl w:val="1"/>
          <w:numId w:val="6"/>
        </w:numPr>
        <w:ind w:firstLine="720" w:start="0" w:end="0"/>
        <w:jc w:val="both"/>
        <w:rPr>
          <w:rFonts w:ascii="Arial" w:hAnsi="Arial" w:cs="Arial"/>
          <w:sz w:val="24"/>
        </w:rPr>
      </w:pPr>
      <w:r>
        <w:rPr>
          <w:rFonts w:cs="Arial" w:ascii="Arial" w:hAnsi="Arial"/>
          <w:sz w:val="24"/>
        </w:rPr>
        <w:t>The terms and conditions of this Agreement (including without limitation, all Exhibits to this Agreement) are applicable to each delivery of Tall Oil made or to be made hereunder.  The terms and conditions of this Agreement shall control over any conflicting or additional terms and conditions contained in any purchase order, acknowledgment or other document issued by either party.</w:t>
      </w:r>
    </w:p>
    <w:p>
      <w:pPr>
        <w:pStyle w:val="Normal"/>
        <w:jc w:val="both"/>
        <w:rPr>
          <w:rFonts w:ascii="Arial" w:hAnsi="Arial" w:cs="Arial"/>
          <w:sz w:val="24"/>
        </w:rPr>
      </w:pPr>
      <w:r>
        <w:rPr>
          <w:rFonts w:cs="Arial" w:ascii="Arial" w:hAnsi="Arial"/>
          <w:sz w:val="24"/>
        </w:rPr>
      </w:r>
    </w:p>
    <w:p>
      <w:pPr>
        <w:pStyle w:val="Heading6"/>
        <w:keepLines/>
        <w:ind w:hanging="0" w:start="0"/>
        <w:rPr/>
      </w:pPr>
      <w:r>
        <w:rPr/>
        <w:t>ARTICLE 7 – EXPANSION AND DIVESTITURES</w:t>
      </w:r>
    </w:p>
    <w:p>
      <w:pPr>
        <w:pStyle w:val="Normal"/>
        <w:keepNext w:val="true"/>
        <w:keepLines/>
        <w:jc w:val="both"/>
        <w:rPr>
          <w:rFonts w:ascii="Arial" w:hAnsi="Arial" w:cs="Arial"/>
          <w:sz w:val="24"/>
        </w:rPr>
      </w:pPr>
      <w:r>
        <w:rPr>
          <w:rFonts w:cs="Arial" w:ascii="Arial" w:hAnsi="Arial"/>
          <w:sz w:val="24"/>
        </w:rPr>
      </w:r>
    </w:p>
    <w:p>
      <w:pPr>
        <w:pStyle w:val="BodyText3"/>
        <w:keepNext w:val="true"/>
        <w:keepLines/>
        <w:rPr>
          <w:rFonts w:ascii="Arial" w:hAnsi="Arial" w:cs="Arial"/>
        </w:rPr>
      </w:pPr>
      <w:r>
        <w:rPr>
          <w:rFonts w:cs="Arial" w:ascii="Arial" w:hAnsi="Arial"/>
        </w:rPr>
        <w:tab/>
        <w:t xml:space="preserve">In the event that NewCo sells, leases or otherwise divests, or causes to be sold, leased or otherwise divested, directly or indirectly the Leaf River Mill, NewCo will require the purchaser or operator of the Leaf River Mill to assume NewCo’s obligations under this Agreement, and the purchaser’s or operator’s acquisition of the Leaf River Mill will be subject to this Agreement. </w:t>
      </w:r>
    </w:p>
    <w:p>
      <w:pPr>
        <w:pStyle w:val="Normal"/>
        <w:jc w:val="both"/>
        <w:rPr>
          <w:rFonts w:ascii="Arial" w:hAnsi="Arial" w:cs="Arial"/>
          <w:sz w:val="24"/>
          <w:u w:val="single"/>
        </w:rPr>
      </w:pPr>
      <w:r>
        <w:rPr>
          <w:rFonts w:cs="Arial" w:ascii="Arial" w:hAnsi="Arial"/>
          <w:sz w:val="24"/>
          <w:u w:val="single"/>
        </w:rPr>
      </w:r>
    </w:p>
    <w:p>
      <w:pPr>
        <w:pStyle w:val="Normal"/>
        <w:jc w:val="both"/>
        <w:rPr>
          <w:rFonts w:ascii="Arial" w:hAnsi="Arial" w:cs="Arial"/>
          <w:sz w:val="24"/>
          <w:u w:val="single"/>
        </w:rPr>
      </w:pPr>
      <w:r>
        <w:rPr>
          <w:rFonts w:cs="Arial" w:ascii="Arial" w:hAnsi="Arial"/>
          <w:sz w:val="24"/>
          <w:u w:val="single"/>
        </w:rPr>
      </w:r>
    </w:p>
    <w:p>
      <w:pPr>
        <w:pStyle w:val="Heading6"/>
        <w:ind w:hanging="0" w:start="0"/>
        <w:rPr/>
      </w:pPr>
      <w:r>
        <w:rPr/>
        <w:t>ARTICLE 8 - PAYMENT</w:t>
      </w:r>
    </w:p>
    <w:p>
      <w:pPr>
        <w:pStyle w:val="Normal"/>
        <w:jc w:val="both"/>
        <w:rPr>
          <w:rFonts w:ascii="Arial" w:hAnsi="Arial" w:cs="Arial"/>
          <w:sz w:val="24"/>
        </w:rPr>
      </w:pPr>
      <w:r>
        <w:rPr>
          <w:rFonts w:cs="Arial" w:ascii="Arial" w:hAnsi="Arial"/>
          <w:sz w:val="24"/>
        </w:rPr>
      </w:r>
    </w:p>
    <w:p>
      <w:pPr>
        <w:pStyle w:val="BodyText3"/>
        <w:rPr>
          <w:rFonts w:ascii="Arial" w:hAnsi="Arial" w:cs="Arial"/>
        </w:rPr>
      </w:pPr>
      <w:r>
        <w:rPr>
          <w:rFonts w:cs="Arial" w:ascii="Arial" w:hAnsi="Arial"/>
        </w:rPr>
        <w:tab/>
        <w:t>Payment terms shall be net thirty (30) days from the date of NewCo’s invoice.   The parties acknowledge that they may mutually agree to exchange funds by electronic means in the future.</w:t>
      </w:r>
    </w:p>
    <w:p>
      <w:pPr>
        <w:pStyle w:val="Normal"/>
        <w:jc w:val="both"/>
        <w:rPr>
          <w:rFonts w:ascii="Arial" w:hAnsi="Arial" w:cs="Arial"/>
          <w:sz w:val="24"/>
        </w:rPr>
      </w:pPr>
      <w:r>
        <w:rPr>
          <w:rFonts w:cs="Arial" w:ascii="Arial" w:hAnsi="Arial"/>
          <w:sz w:val="24"/>
        </w:rPr>
      </w:r>
    </w:p>
    <w:p>
      <w:pPr>
        <w:pStyle w:val="Heading6"/>
        <w:keepLines/>
        <w:ind w:hanging="0" w:start="0"/>
        <w:rPr/>
      </w:pPr>
      <w:r>
        <w:rPr/>
        <w:t>ARTICLE 9 - FORCE MAJEURE</w:t>
      </w:r>
    </w:p>
    <w:p>
      <w:pPr>
        <w:pStyle w:val="Normal"/>
        <w:keepNext w:val="true"/>
        <w:keepLines/>
        <w:jc w:val="both"/>
        <w:rPr>
          <w:rFonts w:ascii="Arial" w:hAnsi="Arial" w:cs="Arial"/>
          <w:sz w:val="24"/>
        </w:rPr>
      </w:pPr>
      <w:r>
        <w:rPr>
          <w:rFonts w:cs="Arial" w:ascii="Arial" w:hAnsi="Arial"/>
          <w:sz w:val="24"/>
        </w:rPr>
      </w:r>
    </w:p>
    <w:p>
      <w:pPr>
        <w:pStyle w:val="Normal"/>
        <w:keepNext w:val="true"/>
        <w:keepLines/>
        <w:ind w:firstLine="720" w:end="0"/>
        <w:jc w:val="both"/>
        <w:rPr>
          <w:rFonts w:ascii="Arial" w:hAnsi="Arial" w:cs="Arial"/>
          <w:sz w:val="24"/>
        </w:rPr>
      </w:pPr>
      <w:r>
        <w:rPr>
          <w:rFonts w:cs="Arial" w:ascii="Arial" w:hAnsi="Arial"/>
          <w:sz w:val="24"/>
        </w:rPr>
        <w:t>9.1</w:t>
        <w:tab/>
        <w:t>“An Event of Force Majeure” as used herein shall mean acts of God, strikes, lock-outs, injunction, acts or failure to act of governmental authorities, wars, riots, fires, floods, explosions, unavailability or shortage of raw material, fuel or power, unavailability of transportation facilities and/or equipment, national emergency and any other causes, whether of the kind herein enumerated or otherwise, not within the control of the party claiming suspension of performance hereunder.</w:t>
      </w:r>
    </w:p>
    <w:p>
      <w:pPr>
        <w:pStyle w:val="Normal"/>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9.2</w:t>
        <w:tab/>
        <w:t>In the event NewCo or GPRI is unable, in whole or in part to carry out its obligations under this Agreement as a result of an Event of Force Majeure, that party’s obligations, as they are affected by such Event of Force Majeure, shall be reduced or suspended during the continuance of the Event of Force Majeure but for no longer period, and the party claiming the Event of Force Majeure shall use all commercially reasonable efforts to remedy such Event of Force Majeure with due diligence.  The party hereto whose obligations are affected by the Event of Force Majeure shall give the other party notice of the Event of Force Majeure as soon as commercially practicable after it occurs.  The party giving notice of the Event of Force Majeure shall further give notice of the time that the Event of Force Majeure is no longer applicable.  Notwithstanding the foregoing, it is understood and agreed that the settlement of strikes, lock-outs or similar labor disputes shall be entirely within the discretion of the party experiencing the strike, lock-out or similar labor dispute.</w:t>
      </w:r>
    </w:p>
    <w:p>
      <w:pPr>
        <w:pStyle w:val="Normal"/>
        <w:jc w:val="both"/>
        <w:rPr>
          <w:rFonts w:ascii="Arial" w:hAnsi="Arial" w:cs="Arial"/>
          <w:sz w:val="24"/>
          <w:u w:val="single"/>
        </w:rPr>
      </w:pPr>
      <w:r>
        <w:rPr>
          <w:rFonts w:cs="Arial" w:ascii="Arial" w:hAnsi="Arial"/>
          <w:sz w:val="24"/>
          <w:u w:val="single"/>
        </w:rPr>
      </w:r>
    </w:p>
    <w:p>
      <w:pPr>
        <w:pStyle w:val="Heading6"/>
        <w:ind w:hanging="0" w:start="0"/>
        <w:rPr/>
      </w:pPr>
      <w:r>
        <w:rPr/>
        <w:t>ARTICLE 10 - INDEMNIFICATION</w:t>
      </w:r>
    </w:p>
    <w:p>
      <w:pPr>
        <w:pStyle w:val="Normal"/>
        <w:jc w:val="both"/>
        <w:rPr>
          <w:rFonts w:ascii="Arial" w:hAnsi="Arial" w:cs="Arial"/>
          <w:sz w:val="24"/>
        </w:rPr>
      </w:pPr>
      <w:r>
        <w:rPr>
          <w:rFonts w:cs="Arial" w:ascii="Arial" w:hAnsi="Arial"/>
          <w:sz w:val="24"/>
        </w:rPr>
        <w:tab/>
      </w:r>
    </w:p>
    <w:p>
      <w:pPr>
        <w:pStyle w:val="Normal"/>
        <w:ind w:firstLine="720" w:end="0"/>
        <w:jc w:val="both"/>
        <w:rPr>
          <w:rFonts w:ascii="Arial" w:hAnsi="Arial" w:cs="Arial"/>
          <w:sz w:val="24"/>
        </w:rPr>
      </w:pPr>
      <w:r>
        <w:rPr>
          <w:rFonts w:cs="Arial" w:ascii="Arial" w:hAnsi="Arial"/>
          <w:sz w:val="24"/>
        </w:rPr>
        <w:t>10.1</w:t>
        <w:tab/>
        <w:t>Subject in each case to the terms and conditions otherwise contained in this Agreement, each party shall defend, indemnify and hold harmless the other party, its successors and permitted assigns, joint venturers, related or affiliated companies, its directors, officers, employees and agents from and against any and all losses, costs, expenses, claims, demands, liabilities, suits or actions (including all reasonable expenses and attorneys’ fees) arising out of any failure to comply with a material provision of this Agreement, as well as personal injury (including death) and, in addition, loss of or damage to property.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10.2</w:t>
        <w:tab/>
        <w:t>IN NO EVENT SHALL EITHER PARTY BE LIABLE TO THE OTHER FOR ANY INCIDENTAL, CONSEQUENTIAL, INDIRECT, SPECIAL OR PUNITIVE DAMAGES, OR LOST REVENUES OR PROFITS, ARISING OUT OF OR IN CONNECTION WITH THE SALE, DELIVERY, OPERATION OR USE OF THE TALL OIL, OR THE PERFORMANCE, OR FAILURE TO PERFORM IN ACCORDANCE WITH THIS AGREEMENT.</w:t>
      </w:r>
    </w:p>
    <w:p>
      <w:pPr>
        <w:pStyle w:val="Normal"/>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10.3</w:t>
        <w:tab/>
        <w:t>No action arising out of this Agreement shall be commenced later than two (2) years after the cause of action has accrued; otherwise such cause of action shall be barred notwithstanding any statutory period of limitations to the contrary.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6"/>
        <w:keepLines/>
        <w:ind w:hanging="0" w:start="0"/>
        <w:rPr/>
      </w:pPr>
      <w:r>
        <w:rPr/>
        <w:t>ARTICLE 11 - DISPUTE RESOLUTION</w:t>
      </w:r>
    </w:p>
    <w:p>
      <w:pPr>
        <w:pStyle w:val="Normal"/>
        <w:keepNext w:val="true"/>
        <w:keepLines/>
        <w:jc w:val="both"/>
        <w:rPr>
          <w:rFonts w:ascii="Arial" w:hAnsi="Arial" w:cs="Arial"/>
          <w:sz w:val="24"/>
        </w:rPr>
      </w:pPr>
      <w:r>
        <w:rPr>
          <w:rFonts w:cs="Arial" w:ascii="Arial" w:hAnsi="Arial"/>
          <w:sz w:val="24"/>
        </w:rPr>
        <w:tab/>
      </w:r>
    </w:p>
    <w:p>
      <w:pPr>
        <w:pStyle w:val="Normal"/>
        <w:keepNext w:val="true"/>
        <w:keepLines/>
        <w:ind w:firstLine="810" w:end="0"/>
        <w:jc w:val="both"/>
        <w:rPr>
          <w:rFonts w:ascii="Arial" w:hAnsi="Arial" w:cs="Arial"/>
          <w:sz w:val="24"/>
        </w:rPr>
      </w:pPr>
      <w:r>
        <w:rPr>
          <w:rFonts w:cs="Arial" w:ascii="Arial" w:hAnsi="Arial"/>
          <w:sz w:val="24"/>
        </w:rPr>
        <w:t>11.1</w:t>
        <w:tab/>
        <w:t>The parties will attempt in good faith to resolve any controversy or claim arising out of or relating to this Agreement promptly by negotiations between senior executives of the parties who have authority to settle the controversy (and who do not have direct responsibility for administration of this Agreement).  All documents which are prepared pursuant to the provisions of this Article 11 shall be for settlement purposes and shall not be admissible as evidence in any court or other legal proceeding.</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11.2</w:t>
        <w:tab/>
        <w:t>The disputing party shall give the other party written notice of the dispute.  Within twenty (20) days after receipt of said notice, the receiving party shall submit to the other a written response.  The notice and response shall include: (a) a statement of that party’s position; and a summary of the evidence and arguments supporting its position, and (b) the name and title of the senior executive who will represent that party.  The senior executives shall meet for negotiations at a mutually agreed time and place within thirty (30) days of the date of the disputing party’s notice and thereafter as often as they reasonably deem necessary to exchange relevant information and to attempt to resolve the dispute.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11.3</w:t>
        <w:tab/>
        <w:t>If the matter has not been resolved within sixty (60) days of the disputing party’s notice, or if the party receiving said notice will not meet within thirty (30) days, the parties will attempt in good faith to resolve the controversy or claim by mediation in accordance with the Center for Public Resources model procedures for mediation of business/commercial disputes.</w:t>
      </w:r>
    </w:p>
    <w:p>
      <w:pPr>
        <w:pStyle w:val="Normal"/>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tab/>
        <w:t>11.4</w:t>
        <w:tab/>
        <w:t>If the matter has not been resolved pursuant to the aforesaid mediation procedure within sixty (60) days of the commencement of such procedure, or if either party will not participate in mediation, either party will be free to institute legal proceedings exclusively in (a) the State Court of New York, Manhattan, or (b) the United States District Court for the Southern District of New York, located in New York, New York.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11.5</w:t>
        <w:tab/>
        <w:t>All deadlines and locations specified in this Article may be changed by mutual agreement.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11.6</w:t>
        <w:tab/>
        <w:t>The procedures specified in this Article shall be the sole and exclusive procedures for the resolution of disputes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Article.  All applicable statutes of limitation shall be tolled while the procedures specified in this Article are pending.  The parties will take such action, if any, required to effectuate such tolling.</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6"/>
        <w:keepLines/>
        <w:ind w:hanging="0" w:start="0"/>
        <w:rPr/>
      </w:pPr>
      <w:r>
        <w:rPr/>
        <w:t>ARTICLE 12 - NOTICES</w:t>
      </w:r>
    </w:p>
    <w:p>
      <w:pPr>
        <w:pStyle w:val="Normal"/>
        <w:keepNext w:val="true"/>
        <w:keepLines/>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sz w:val="24"/>
        </w:rPr>
        <w:tab/>
        <w:t xml:space="preserve">Any notices permitted or required to be given by either party to the other pursuant to this Agreement or related hereto shall be in writing and be sent by overnight courier service or Certified U.S. Mail (return receipt requested) postage prepaid, addressed as shown below, unless otherwise specified in this Agreement, or to such other address as may be designated in writing hereafter for itself by either party.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If to NewCo:</w:t>
        <w:tab/>
      </w:r>
    </w:p>
    <w:p>
      <w:pPr>
        <w:pStyle w:val="Normal"/>
        <w:ind w:start="3600" w:end="0"/>
        <w:jc w:val="both"/>
        <w:rPr>
          <w:rFonts w:ascii="Arial" w:hAnsi="Arial" w:cs="Arial"/>
          <w:sz w:val="24"/>
        </w:rPr>
      </w:pPr>
      <w:r>
        <w:rPr>
          <w:rFonts w:cs="Arial" w:ascii="Arial" w:hAnsi="Arial"/>
          <w:sz w:val="24"/>
        </w:rPr>
      </w:r>
    </w:p>
    <w:p>
      <w:pPr>
        <w:pStyle w:val="Normal"/>
        <w:ind w:start="3600" w:end="0"/>
        <w:jc w:val="both"/>
        <w:rPr>
          <w:rFonts w:ascii="Arial" w:hAnsi="Arial" w:cs="Arial"/>
          <w:sz w:val="24"/>
        </w:rPr>
      </w:pPr>
      <w:r>
        <w:rPr>
          <w:rFonts w:cs="Arial" w:ascii="Arial" w:hAnsi="Arial"/>
          <w:sz w:val="24"/>
        </w:rPr>
        <w:t>NewCo, LLC</w:t>
      </w:r>
    </w:p>
    <w:p>
      <w:pPr>
        <w:pStyle w:val="Normal"/>
        <w:ind w:start="3600" w:end="0"/>
        <w:jc w:val="both"/>
        <w:rPr>
          <w:rFonts w:ascii="Arial" w:hAnsi="Arial" w:cs="Arial"/>
          <w:sz w:val="24"/>
        </w:rPr>
      </w:pPr>
      <w:r>
        <w:rPr>
          <w:rFonts w:cs="Arial" w:ascii="Arial" w:hAnsi="Arial"/>
          <w:sz w:val="24"/>
        </w:rPr>
        <w:t>Attn: Office of General Counsel</w:t>
      </w:r>
    </w:p>
    <w:p>
      <w:pPr>
        <w:pStyle w:val="Normal"/>
        <w:ind w:start="3600" w:end="0"/>
        <w:jc w:val="both"/>
        <w:rPr>
          <w:rFonts w:ascii="Arial" w:hAnsi="Arial" w:cs="Arial"/>
          <w:sz w:val="24"/>
        </w:rPr>
      </w:pPr>
      <w:r>
        <w:rPr>
          <w:rFonts w:cs="Arial" w:ascii="Arial" w:hAnsi="Arial"/>
          <w:sz w:val="24"/>
        </w:rPr>
        <w:t>1400 Smith Street,</w:t>
      </w:r>
    </w:p>
    <w:p>
      <w:pPr>
        <w:pStyle w:val="Normal"/>
        <w:ind w:start="3600" w:end="0"/>
        <w:jc w:val="both"/>
        <w:rPr>
          <w:rFonts w:ascii="Arial" w:hAnsi="Arial" w:cs="Arial"/>
          <w:sz w:val="24"/>
        </w:rPr>
      </w:pPr>
      <w:r>
        <w:rPr>
          <w:rFonts w:cs="Arial" w:ascii="Arial" w:hAnsi="Arial"/>
          <w:sz w:val="24"/>
        </w:rPr>
        <w:t>Houston, TX 77002</w:t>
      </w:r>
    </w:p>
    <w:p>
      <w:pPr>
        <w:pStyle w:val="Normal"/>
        <w:ind w:start="360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If to GPRI:</w:t>
        <w:tab/>
        <w:tab/>
        <w:t>Georgia-Pacific Resins, Inc.</w:t>
      </w:r>
    </w:p>
    <w:p>
      <w:pPr>
        <w:pStyle w:val="Normal"/>
        <w:ind w:firstLine="720" w:start="2880" w:end="0"/>
        <w:jc w:val="both"/>
        <w:rPr>
          <w:rFonts w:ascii="Arial" w:hAnsi="Arial" w:cs="Arial"/>
          <w:sz w:val="24"/>
        </w:rPr>
      </w:pPr>
      <w:r>
        <w:rPr>
          <w:rFonts w:cs="Arial" w:ascii="Arial" w:hAnsi="Arial"/>
          <w:sz w:val="24"/>
        </w:rPr>
        <w:t>ATTN:</w:t>
        <w:tab/>
        <w:t xml:space="preserve">   Manager Pine Chemicals</w:t>
      </w:r>
    </w:p>
    <w:p>
      <w:pPr>
        <w:pStyle w:val="Normal"/>
        <w:ind w:start="3600" w:end="0"/>
        <w:jc w:val="both"/>
        <w:rPr>
          <w:rFonts w:ascii="Arial" w:hAnsi="Arial" w:cs="Arial"/>
          <w:sz w:val="24"/>
        </w:rPr>
      </w:pPr>
      <w:r>
        <w:rPr>
          <w:rFonts w:cs="Arial" w:ascii="Arial" w:hAnsi="Arial"/>
          <w:sz w:val="24"/>
        </w:rPr>
        <w:t xml:space="preserve">One Atlantic Center, </w:t>
      </w:r>
    </w:p>
    <w:p>
      <w:pPr>
        <w:pStyle w:val="Normal"/>
        <w:ind w:start="3600" w:end="0"/>
        <w:jc w:val="both"/>
        <w:rPr>
          <w:rFonts w:ascii="Arial" w:hAnsi="Arial" w:cs="Arial"/>
          <w:sz w:val="24"/>
        </w:rPr>
      </w:pPr>
      <w:r>
        <w:rPr>
          <w:rFonts w:cs="Arial" w:ascii="Arial" w:hAnsi="Arial"/>
          <w:sz w:val="24"/>
        </w:rPr>
        <w:t>1201 West Peachtree Street, Suite 1201,</w:t>
      </w:r>
    </w:p>
    <w:p>
      <w:pPr>
        <w:pStyle w:val="Normal"/>
        <w:ind w:start="3600" w:end="0"/>
        <w:jc w:val="both"/>
        <w:rPr>
          <w:rFonts w:ascii="Arial" w:hAnsi="Arial" w:cs="Arial"/>
          <w:sz w:val="24"/>
        </w:rPr>
      </w:pPr>
      <w:r>
        <w:rPr>
          <w:rFonts w:cs="Arial" w:ascii="Arial" w:hAnsi="Arial"/>
          <w:sz w:val="24"/>
        </w:rPr>
        <w:t>Atlanta, GA  30309</w:t>
      </w:r>
    </w:p>
    <w:p>
      <w:pPr>
        <w:pStyle w:val="Normal"/>
        <w:jc w:val="both"/>
        <w:rPr>
          <w:rFonts w:ascii="Arial" w:hAnsi="Arial" w:cs="Arial"/>
          <w:sz w:val="24"/>
        </w:rPr>
      </w:pPr>
      <w:r>
        <w:rPr>
          <w:rFonts w:cs="Arial" w:ascii="Arial" w:hAnsi="Arial"/>
          <w:sz w:val="24"/>
        </w:rPr>
        <w:tab/>
        <w:tab/>
        <w:tab/>
        <w:tab/>
        <w:tab/>
      </w:r>
    </w:p>
    <w:p>
      <w:pPr>
        <w:pStyle w:val="Heading6"/>
        <w:ind w:hanging="0" w:start="0"/>
        <w:rPr/>
      </w:pPr>
      <w:r>
        <w:rPr/>
        <w:t>ARTICLE 13 - ASSIGNMENT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Except as provided in Article 7 and as hereinafter provided, this Agreement may not be assigned by either party without the prior written consent of the other party, which consent shall not unreasonably be withheld; provided, this Agreement may be assigned without consent to a subsidiary, parent corporation or affiliate of either party, or to either of the parties’ lenders for collateral purposes only, under any applicable credit facility or similar arrangement.  Notwithstanding the foregoing, this Agreement shall automatically be binding upon and inure to the benefit of each party’s successors, including, without limitation, a purchaser of all or substantially all of the assets, or all of the outstanding capital stock, of either party.  In the event of any permitted assignment, such assignment shall not release the assignor from continuing liability hereunder unless mutually agreed in writing.  Each party seeking to make an assignment permitted as specified above shall give the other party as much advance written notice of the effective date of such assignment as practical, and such notice shall identify the name, address, telephone number and contact person of the assignee.</w:t>
      </w:r>
    </w:p>
    <w:p>
      <w:pPr>
        <w:pStyle w:val="Normal"/>
        <w:jc w:val="both"/>
        <w:rPr>
          <w:rFonts w:ascii="Arial" w:hAnsi="Arial" w:cs="Arial"/>
          <w:sz w:val="24"/>
        </w:rPr>
      </w:pPr>
      <w:r>
        <w:rPr>
          <w:rFonts w:cs="Arial" w:ascii="Arial" w:hAnsi="Arial"/>
          <w:sz w:val="24"/>
        </w:rPr>
      </w:r>
    </w:p>
    <w:p>
      <w:pPr>
        <w:pStyle w:val="Heading6"/>
        <w:ind w:hanging="0" w:start="0"/>
        <w:rPr/>
      </w:pPr>
      <w:r>
        <w:rPr/>
        <w:t>ARTICLE 14 – WAIVER; AMENDMENT</w:t>
      </w:r>
    </w:p>
    <w:p>
      <w:pPr>
        <w:pStyle w:val="Normal"/>
        <w:jc w:val="both"/>
        <w:rPr>
          <w:rFonts w:ascii="Arial" w:hAnsi="Arial" w:cs="Arial"/>
          <w:sz w:val="24"/>
        </w:rPr>
      </w:pPr>
      <w:r>
        <w:rPr>
          <w:rFonts w:cs="Arial" w:ascii="Arial" w:hAnsi="Arial"/>
          <w:sz w:val="24"/>
        </w:rPr>
      </w:r>
    </w:p>
    <w:p>
      <w:pPr>
        <w:pStyle w:val="Normal"/>
        <w:numPr>
          <w:ilvl w:val="1"/>
          <w:numId w:val="2"/>
        </w:numPr>
        <w:tabs>
          <w:tab w:val="clear" w:pos="720"/>
        </w:tabs>
        <w:ind w:firstLine="720" w:start="0" w:end="0"/>
        <w:jc w:val="both"/>
        <w:rPr>
          <w:rFonts w:ascii="Arial" w:hAnsi="Arial" w:cs="Arial"/>
          <w:sz w:val="24"/>
        </w:rPr>
      </w:pPr>
      <w:r>
        <w:rPr>
          <w:rFonts w:cs="Arial" w:ascii="Arial" w:hAnsi="Arial"/>
          <w:sz w:val="24"/>
        </w:rPr>
        <w:t>No waiver by either GPRI or NewCo may occur with respect to any breach or default of or with respect to any provision of this Agreement, and no course of dealing shall be deemed to constitute a waiver of any other breach or default of or with respect to the same or any other provision or condition of this Agreement, unless such waiver is expressed in writing signed by the party(ies) to be bound.</w:t>
      </w:r>
    </w:p>
    <w:p>
      <w:pPr>
        <w:pStyle w:val="Normal"/>
        <w:numPr>
          <w:ilvl w:val="1"/>
          <w:numId w:val="2"/>
        </w:numPr>
        <w:tabs>
          <w:tab w:val="clear" w:pos="720"/>
        </w:tabs>
        <w:spacing w:before="240" w:after="0"/>
        <w:ind w:firstLine="720" w:start="0" w:end="0"/>
        <w:jc w:val="both"/>
        <w:rPr>
          <w:rFonts w:ascii="Arial" w:hAnsi="Arial" w:cs="Arial"/>
          <w:sz w:val="24"/>
        </w:rPr>
      </w:pPr>
      <w:r>
        <w:rPr>
          <w:rFonts w:cs="Arial" w:ascii="Arial" w:hAnsi="Arial"/>
          <w:sz w:val="24"/>
        </w:rPr>
        <w:t>This Agreement may be altered or amended only by an instrument in writing duly executed by both NewCo and GPRI.</w:t>
      </w:r>
    </w:p>
    <w:p>
      <w:pPr>
        <w:pStyle w:val="Normal"/>
        <w:spacing w:before="240" w:after="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6"/>
        <w:ind w:hanging="0" w:start="0"/>
        <w:rPr/>
      </w:pPr>
      <w:r>
        <w:rPr/>
        <w:t>ARTICLE 15 – CAPTIONS; COUNTERPARTS</w:t>
      </w:r>
    </w:p>
    <w:p>
      <w:pPr>
        <w:pStyle w:val="Normal"/>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15.1</w:t>
        <w:tab/>
        <w:t>Captions are inserted herein for convenience only and are not a part of this Agreement.</w:t>
      </w:r>
    </w:p>
    <w:p>
      <w:pPr>
        <w:pStyle w:val="Normal"/>
        <w:spacing w:before="240" w:after="0"/>
        <w:ind w:firstLine="720" w:end="0"/>
        <w:jc w:val="both"/>
        <w:rPr>
          <w:rFonts w:ascii="Arial" w:hAnsi="Arial" w:cs="Arial"/>
          <w:sz w:val="24"/>
        </w:rPr>
      </w:pPr>
      <w:r>
        <w:rPr>
          <w:rFonts w:cs="Arial" w:ascii="Arial" w:hAnsi="Arial"/>
          <w:sz w:val="24"/>
        </w:rPr>
        <w:t>15.2</w:t>
        <w:tab/>
        <w:t>This Agreement may be executed in two or more counterparts, each of which shall be deemed an original, but all of which together shall constitute one and the same instrument. This Agreement and any communications, notices and exchanges of information pursuant to this Agreement, including signatures, may be delivered by facsimile and shall be treated in all manner and respects as an original document.</w:t>
      </w:r>
    </w:p>
    <w:p>
      <w:pPr>
        <w:pStyle w:val="Normal"/>
        <w:jc w:val="both"/>
        <w:rPr>
          <w:rFonts w:ascii="Arial" w:hAnsi="Arial" w:cs="Arial"/>
          <w:sz w:val="24"/>
        </w:rPr>
      </w:pPr>
      <w:r>
        <w:rPr>
          <w:rFonts w:cs="Arial" w:ascii="Arial" w:hAnsi="Arial"/>
          <w:sz w:val="24"/>
        </w:rPr>
      </w:r>
    </w:p>
    <w:p>
      <w:pPr>
        <w:pStyle w:val="Heading6"/>
        <w:ind w:hanging="0" w:start="0"/>
        <w:rPr/>
      </w:pPr>
      <w:r>
        <w:rPr/>
        <w:t>ARTICLE 16 - MISCELLANEOUS</w:t>
      </w:r>
    </w:p>
    <w:p>
      <w:pPr>
        <w:pStyle w:val="Normal"/>
        <w:jc w:val="both"/>
        <w:rPr>
          <w:rFonts w:ascii="Arial" w:hAnsi="Arial" w:cs="Arial"/>
          <w:sz w:val="24"/>
        </w:rPr>
      </w:pPr>
      <w:r>
        <w:rPr>
          <w:rFonts w:cs="Arial" w:ascii="Arial" w:hAnsi="Arial"/>
          <w:sz w:val="24"/>
        </w:rPr>
      </w:r>
    </w:p>
    <w:p>
      <w:pPr>
        <w:pStyle w:val="Normal"/>
        <w:numPr>
          <w:ilvl w:val="1"/>
          <w:numId w:val="5"/>
        </w:numPr>
        <w:tabs>
          <w:tab w:val="clear" w:pos="720"/>
          <w:tab w:val="left" w:pos="0" w:leader="none"/>
        </w:tabs>
        <w:ind w:firstLine="720" w:start="0" w:end="0"/>
        <w:jc w:val="both"/>
        <w:rPr>
          <w:rFonts w:ascii="Arial" w:hAnsi="Arial" w:cs="Arial"/>
          <w:sz w:val="24"/>
        </w:rPr>
      </w:pPr>
      <w:r>
        <w:rPr>
          <w:rFonts w:cs="Arial" w:ascii="Arial" w:hAnsi="Arial"/>
          <w:sz w:val="24"/>
        </w:rPr>
        <w:t>The validity, interpretation, and performance of this Agreement shall be governed and construed in accordance with the laws of the State of New York.</w:t>
      </w:r>
    </w:p>
    <w:p>
      <w:pPr>
        <w:pStyle w:val="Normal"/>
        <w:ind w:start="720" w:end="0"/>
        <w:jc w:val="both"/>
        <w:rPr>
          <w:rFonts w:ascii="Arial" w:hAnsi="Arial" w:cs="Arial"/>
          <w:sz w:val="24"/>
        </w:rPr>
      </w:pPr>
      <w:r>
        <w:rPr>
          <w:rFonts w:cs="Arial" w:ascii="Arial" w:hAnsi="Arial"/>
          <w:sz w:val="24"/>
        </w:rPr>
      </w:r>
    </w:p>
    <w:p>
      <w:pPr>
        <w:pStyle w:val="BodyTextIndent3"/>
        <w:jc w:val="both"/>
        <w:rPr/>
      </w:pPr>
      <w:r>
        <w:rPr/>
        <w:t>16.2</w:t>
        <w:tab/>
        <w:t>This Agreement constitutes the full understanding of the parties and is a complete and exclusive statement of the terms of their agreement.  Except as provided herein, no conditions, course of dealing, usage of trade, understandings, or agreements purporting to modify, vary, supplement or explain the terms of this Agreement shall be binding unless hereafter made in writing and signed by the party(ies) to be bound, and no modifications shall be effected by the acknowledgment or acceptance of invoices, shipping documents, purchase orders or other forms or documents containing terms at variance with or in addition to those set forth herein.</w:t>
      </w:r>
    </w:p>
    <w:p>
      <w:pPr>
        <w:pStyle w:val="Normal"/>
        <w:ind w:start="720" w:end="0"/>
        <w:jc w:val="both"/>
        <w:rPr>
          <w:rFonts w:ascii="Arial" w:hAnsi="Arial" w:cs="Arial"/>
          <w:sz w:val="24"/>
        </w:rPr>
      </w:pPr>
      <w:r>
        <w:rPr>
          <w:rFonts w:cs="Arial" w:ascii="Arial" w:hAnsi="Arial"/>
          <w:sz w:val="24"/>
        </w:rPr>
      </w:r>
    </w:p>
    <w:p>
      <w:pPr>
        <w:pStyle w:val="Normal"/>
        <w:numPr>
          <w:ilvl w:val="1"/>
          <w:numId w:val="10"/>
        </w:numPr>
        <w:tabs>
          <w:tab w:val="clear" w:pos="720"/>
        </w:tabs>
        <w:ind w:firstLine="720" w:start="0" w:end="0"/>
        <w:jc w:val="both"/>
        <w:rPr>
          <w:rFonts w:ascii="Arial" w:hAnsi="Arial" w:cs="Arial"/>
          <w:sz w:val="24"/>
        </w:rPr>
      </w:pPr>
      <w:r>
        <w:rPr>
          <w:rFonts w:cs="Arial" w:ascii="Arial" w:hAnsi="Arial"/>
          <w:sz w:val="24"/>
        </w:rPr>
        <w:t xml:space="preserve">In the event that particular provision(s) or requirement(s) of this Agreement are in violation of any law or regulation, such provision(s) or requirement(s) shall not be enforced except to the extent they are not in violation of such laws or regulations, and all other provision(s) and requirements of this Agreement shall remain in full force and effect. </w:t>
      </w:r>
    </w:p>
    <w:p>
      <w:pPr>
        <w:pStyle w:val="Normal"/>
        <w:jc w:val="both"/>
        <w:rPr>
          <w:rFonts w:ascii="Arial" w:hAnsi="Arial" w:cs="Arial"/>
          <w:sz w:val="24"/>
        </w:rPr>
      </w:pPr>
      <w:r>
        <w:rPr>
          <w:rFonts w:cs="Arial" w:ascii="Arial" w:hAnsi="Arial"/>
          <w:sz w:val="24"/>
        </w:rPr>
      </w:r>
      <w:r>
        <w:br w:type="page"/>
      </w:r>
    </w:p>
    <w:p>
      <w:pPr>
        <w:pStyle w:val="Normal"/>
        <w:jc w:val="both"/>
        <w:rPr>
          <w:rFonts w:ascii="Arial" w:hAnsi="Arial" w:cs="Arial"/>
          <w:sz w:val="24"/>
        </w:rPr>
      </w:pPr>
      <w:r>
        <w:rPr>
          <w:rFonts w:cs="Arial" w:ascii="Arial" w:hAnsi="Arial"/>
          <w:sz w:val="24"/>
        </w:rPr>
        <w:tab/>
        <w:t>IN WITNESS WHEREOF, the parties have caused this Agreement to be executed by their duly authorized representatives as shown below.</w:t>
      </w:r>
    </w:p>
    <w:p>
      <w:pPr>
        <w:pStyle w:val="Normal"/>
        <w:jc w:val="both"/>
        <w:rPr>
          <w:rFonts w:ascii="Arial" w:hAnsi="Arial" w:cs="Arial"/>
          <w:sz w:val="24"/>
        </w:rPr>
      </w:pPr>
      <w:r>
        <w:rPr>
          <w:rFonts w:cs="Arial" w:ascii="Arial" w:hAnsi="Arial"/>
          <w:sz w:val="24"/>
        </w:rPr>
      </w:r>
    </w:p>
    <w:p>
      <w:pPr>
        <w:pStyle w:val="Heading4"/>
        <w:ind w:hanging="0" w:start="0"/>
        <w:rPr/>
      </w:pPr>
      <w:r>
        <w:rPr/>
        <w:t>GEORGIA-PACIFIC RESINS, INC.</w:t>
        <w:tab/>
        <w:t>NEWCO, LLC</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3"/>
        <w:ind w:hanging="0" w:end="0"/>
        <w:jc w:val="both"/>
        <w:rPr/>
      </w:pPr>
      <w:r>
        <w:rPr/>
        <w:t>By: __________________________</w:t>
        <w:tab/>
        <w:t>By:_____________________________</w:t>
        <w:tab/>
        <w:tab/>
      </w:r>
    </w:p>
    <w:p>
      <w:pPr>
        <w:pStyle w:val="Normal"/>
        <w:jc w:val="both"/>
        <w:rPr>
          <w:rFonts w:ascii="Arial" w:hAnsi="Arial" w:cs="Arial"/>
          <w:sz w:val="24"/>
        </w:rPr>
      </w:pPr>
      <w:r>
        <w:rPr>
          <w:rFonts w:cs="Arial" w:ascii="Arial" w:hAnsi="Arial"/>
          <w:sz w:val="24"/>
        </w:rPr>
      </w:r>
    </w:p>
    <w:p>
      <w:pPr>
        <w:pStyle w:val="Heading3"/>
        <w:ind w:hanging="0" w:end="0"/>
        <w:jc w:val="both"/>
        <w:rPr/>
      </w:pPr>
      <w:r>
        <w:rPr/>
        <w:t>Print Name: ___________________</w:t>
        <w:tab/>
        <w:t>Print Name: ______________________</w:t>
      </w:r>
    </w:p>
    <w:p>
      <w:pPr>
        <w:pStyle w:val="Normal"/>
        <w:jc w:val="both"/>
        <w:rPr>
          <w:rFonts w:ascii="Arial" w:hAnsi="Arial" w:cs="Arial"/>
          <w:sz w:val="24"/>
        </w:rPr>
      </w:pPr>
      <w:r>
        <w:rPr>
          <w:rFonts w:cs="Arial" w:ascii="Arial" w:hAnsi="Arial"/>
          <w:sz w:val="24"/>
        </w:rPr>
      </w:r>
    </w:p>
    <w:p>
      <w:pPr>
        <w:pStyle w:val="Heading3"/>
        <w:ind w:hanging="0" w:end="0"/>
        <w:jc w:val="both"/>
        <w:rPr/>
      </w:pPr>
      <w:r>
        <w:rPr/>
        <w:t>Title: ________________________</w:t>
        <w:tab/>
        <w:t>Title: ___________________________</w:t>
      </w:r>
    </w:p>
    <w:p>
      <w:pPr>
        <w:pStyle w:val="Normal"/>
        <w:jc w:val="both"/>
        <w:rPr>
          <w:rFonts w:ascii="Arial" w:hAnsi="Arial" w:cs="Arial"/>
          <w:sz w:val="24"/>
        </w:rPr>
      </w:pPr>
      <w:r>
        <w:rPr>
          <w:rFonts w:cs="Arial" w:ascii="Arial" w:hAnsi="Arial"/>
          <w:sz w:val="24"/>
        </w:rPr>
      </w:r>
    </w:p>
    <w:p>
      <w:pPr>
        <w:sectPr>
          <w:footerReference w:type="default" r:id="rId2"/>
          <w:footerReference w:type="first" r:id="rId3"/>
          <w:type w:val="nextPage"/>
          <w:pgSz w:w="12240" w:h="15840"/>
          <w:pgMar w:left="1440" w:right="1440" w:gutter="0" w:header="0" w:top="1440" w:footer="432" w:bottom="1440"/>
          <w:pgNumType w:fmt="decimal"/>
          <w:formProt w:val="false"/>
          <w:titlePg/>
          <w:textDirection w:val="lrTb"/>
          <w:docGrid w:type="default" w:linePitch="360" w:charSpace="0"/>
        </w:sectPr>
        <w:pStyle w:val="Heading3"/>
        <w:ind w:hanging="0" w:end="0"/>
        <w:jc w:val="both"/>
        <w:rPr/>
      </w:pPr>
      <w:r>
        <w:rPr/>
        <w:t>Date: ________________________</w:t>
        <w:tab/>
        <w:t>Date: ___________________________</w:t>
      </w:r>
    </w:p>
    <w:p>
      <w:pPr>
        <w:pStyle w:val="Heading2"/>
        <w:ind w:hanging="0" w:start="0"/>
        <w:rPr/>
      </w:pPr>
      <w:r>
        <w:rPr/>
        <w:t>Exhibit A</w:t>
      </w:r>
    </w:p>
    <w:p>
      <w:pPr>
        <w:pStyle w:val="Heading1"/>
        <w:ind w:hanging="0" w:start="0"/>
        <w:rPr>
          <w:rFonts w:ascii="Arial" w:hAnsi="Arial" w:cs="Arial"/>
        </w:rPr>
      </w:pPr>
      <w:r>
        <w:rPr>
          <w:rFonts w:cs="Arial" w:ascii="Arial" w:hAnsi="Arial"/>
        </w:rPr>
        <w:t>SPECIFICATIONS</w:t>
      </w:r>
    </w:p>
    <w:p>
      <w:pPr>
        <w:pStyle w:val="Heading7"/>
        <w:ind w:hanging="0" w:start="0"/>
        <w:rPr/>
      </w:pPr>
      <w:r>
        <w:rPr/>
        <w:t>TALL OIL</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AcV &gt; 140</w:t>
      </w:r>
      <w:r>
        <w:rPr>
          <w:rStyle w:val="FootnoteCharacters"/>
          <w:rStyle w:val="FootnoteReference"/>
          <w:rFonts w:cs="Arial" w:ascii="Arial" w:hAnsi="Arial"/>
          <w:sz w:val="24"/>
        </w:rPr>
        <w:footnoteReference w:customMarkFollows="1" w:id="2"/>
        <w: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Moisture &lt; 2%</w:t>
      </w:r>
      <w:r>
        <w:rPr>
          <w:rStyle w:val="FootnoteCharacters"/>
          <w:rStyle w:val="FootnoteReference"/>
          <w:rFonts w:cs="Arial" w:ascii="Arial" w:hAnsi="Arial"/>
          <w:sz w:val="24"/>
        </w:rPr>
        <w:footnoteReference w:customMarkFollows="1" w:id="3"/>
        <w:t>*</w:t>
      </w:r>
      <w:r>
        <w:rPr>
          <w:rStyle w:val="FootnoteCharacters"/>
          <w:rFonts w:cs="Arial" w:ascii="Arial" w:hAnsi="Arial"/>
          <w:sz w:val="24"/>
        </w:rPr>
        <w: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7"/>
        <w:ind w:hanging="0" w:start="0"/>
        <w:rPr/>
      </w:pPr>
      <w:r>
        <w:rPr/>
        <w:t>BLS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AcV &gt; 140</w:t>
      </w:r>
      <w:r>
        <w:rPr>
          <w:rStyle w:val="FootnoteCharacters"/>
          <w:rStyle w:val="FootnoteReference"/>
          <w:rFonts w:cs="Arial" w:ascii="Arial" w:hAnsi="Arial"/>
          <w:sz w:val="24"/>
        </w:rPr>
        <w:footnoteReference w:customMarkFollows="1" w:id="4"/>
        <w:t>*</w:t>
      </w:r>
      <w:r>
        <w:rPr>
          <w:rStyle w:val="FootnoteCharacters"/>
          <w:rFonts w:cs="Arial" w:ascii="Arial" w:hAnsi="Arial"/>
          <w:sz w:val="24"/>
        </w:rPr>
        <w: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Free Black Liquor &lt; 5%</w:t>
      </w:r>
      <w:r>
        <w:rPr>
          <w:rStyle w:val="FootnoteCharacters"/>
          <w:rStyle w:val="FootnoteReference"/>
          <w:rFonts w:cs="Arial" w:ascii="Arial" w:hAnsi="Arial"/>
          <w:sz w:val="24"/>
        </w:rPr>
        <w:footnoteReference w:customMarkFollows="1" w:id="5"/>
        <w:t>*</w:t>
      </w:r>
      <w:r>
        <w:rPr>
          <w:rStyle w:val="FootnoteCharacters"/>
          <w:rFonts w:cs="Arial" w:ascii="Arial" w:hAnsi="Arial"/>
          <w:sz w:val="24"/>
        </w:rPr>
        <w: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Heading2"/>
        <w:keepNext w:val="false"/>
        <w:ind w:hanging="0" w:start="0"/>
        <w:rPr/>
      </w:pPr>
      <w:r>
        <w:rPr/>
        <w:t>Exhibit B</w:t>
      </w:r>
    </w:p>
    <w:p>
      <w:pPr>
        <w:pStyle w:val="Heading"/>
        <w:rPr>
          <w:sz w:val="32"/>
        </w:rPr>
      </w:pPr>
      <w:r>
        <w:rPr>
          <w:sz w:val="32"/>
        </w:rPr>
        <w:t>CTO/BLS Pricing Structure***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spacing w:lineRule="auto" w:line="360"/>
        <w:rPr>
          <w:rFonts w:ascii="Arial" w:hAnsi="Arial" w:cs="Arial"/>
          <w:b/>
          <w:sz w:val="24"/>
        </w:rPr>
      </w:pPr>
      <w:r>
        <w:rPr>
          <w:rFonts w:cs="Arial" w:ascii="Arial" w:hAnsi="Arial"/>
          <w:b/>
          <w:sz w:val="24"/>
          <w:u w:val="single"/>
        </w:rPr>
        <w:t>CTO Quality (AcV)*</w:t>
      </w:r>
      <w:r>
        <w:rPr>
          <w:rFonts w:cs="Arial" w:ascii="Arial" w:hAnsi="Arial"/>
          <w:b/>
          <w:sz w:val="24"/>
        </w:rPr>
        <w:tab/>
        <w:tab/>
        <w:tab/>
        <w:tab/>
      </w:r>
      <w:r>
        <w:rPr>
          <w:rFonts w:cs="Arial" w:ascii="Arial" w:hAnsi="Arial"/>
          <w:b/>
          <w:sz w:val="24"/>
          <w:u w:val="single"/>
        </w:rPr>
        <w:t>Price**</w:t>
      </w:r>
    </w:p>
    <w:p>
      <w:pPr>
        <w:pStyle w:val="Normal"/>
        <w:spacing w:lineRule="auto" w:line="360"/>
        <w:rPr>
          <w:rFonts w:ascii="Arial" w:hAnsi="Arial" w:cs="Arial"/>
          <w:sz w:val="24"/>
        </w:rPr>
      </w:pPr>
      <w:r>
        <w:rPr>
          <w:rFonts w:cs="Arial" w:ascii="Arial" w:hAnsi="Arial"/>
          <w:sz w:val="24"/>
        </w:rPr>
        <w:t>&gt;165+</w:t>
        <w:tab/>
        <w:tab/>
        <w:tab/>
        <w:tab/>
        <w:tab/>
        <w:tab/>
        <w:tab/>
        <w:t>CMR + $10</w:t>
      </w:r>
    </w:p>
    <w:p>
      <w:pPr>
        <w:pStyle w:val="Normal"/>
        <w:spacing w:lineRule="auto" w:line="360"/>
        <w:rPr>
          <w:rFonts w:ascii="Arial" w:hAnsi="Arial" w:cs="Arial"/>
          <w:sz w:val="24"/>
        </w:rPr>
      </w:pPr>
      <w:r>
        <w:rPr>
          <w:rFonts w:cs="Arial" w:ascii="Arial" w:hAnsi="Arial"/>
          <w:sz w:val="24"/>
        </w:rPr>
        <w:t>162.5 – 165</w:t>
        <w:tab/>
        <w:tab/>
        <w:tab/>
        <w:tab/>
        <w:tab/>
        <w:tab/>
        <w:t>CMR + $7.50</w:t>
      </w:r>
    </w:p>
    <w:p>
      <w:pPr>
        <w:pStyle w:val="Normal"/>
        <w:spacing w:lineRule="auto" w:line="360"/>
        <w:rPr>
          <w:rFonts w:ascii="Arial" w:hAnsi="Arial" w:cs="Arial"/>
          <w:sz w:val="24"/>
        </w:rPr>
      </w:pPr>
      <w:r>
        <w:rPr>
          <w:rFonts w:cs="Arial" w:ascii="Arial" w:hAnsi="Arial"/>
          <w:sz w:val="24"/>
        </w:rPr>
        <w:t>160 – 162.4</w:t>
        <w:tab/>
        <w:tab/>
        <w:tab/>
        <w:tab/>
        <w:tab/>
        <w:tab/>
        <w:t>CMR +5</w:t>
      </w:r>
    </w:p>
    <w:p>
      <w:pPr>
        <w:pStyle w:val="Normal"/>
        <w:spacing w:lineRule="auto" w:line="360"/>
        <w:rPr>
          <w:rFonts w:ascii="Arial" w:hAnsi="Arial" w:cs="Arial"/>
          <w:sz w:val="24"/>
        </w:rPr>
      </w:pPr>
      <w:r>
        <w:rPr>
          <w:rFonts w:cs="Arial" w:ascii="Arial" w:hAnsi="Arial"/>
          <w:sz w:val="24"/>
        </w:rPr>
        <w:t>155 – 159.9</w:t>
        <w:tab/>
        <w:tab/>
        <w:tab/>
        <w:tab/>
        <w:tab/>
        <w:tab/>
        <w:t>CMR</w:t>
      </w:r>
    </w:p>
    <w:p>
      <w:pPr>
        <w:pStyle w:val="Normal"/>
        <w:spacing w:lineRule="auto" w:line="360"/>
        <w:rPr>
          <w:rFonts w:ascii="Arial" w:hAnsi="Arial" w:cs="Arial"/>
          <w:sz w:val="24"/>
        </w:rPr>
      </w:pPr>
      <w:r>
        <w:rPr>
          <w:rFonts w:cs="Arial" w:ascii="Arial" w:hAnsi="Arial"/>
          <w:sz w:val="24"/>
        </w:rPr>
        <w:t>150 – 154.9</w:t>
        <w:tab/>
        <w:tab/>
        <w:tab/>
        <w:tab/>
        <w:tab/>
        <w:tab/>
        <w:t>CMR - $5</w:t>
      </w:r>
    </w:p>
    <w:p>
      <w:pPr>
        <w:pStyle w:val="Normal"/>
        <w:spacing w:lineRule="auto" w:line="360"/>
        <w:rPr>
          <w:rFonts w:ascii="Arial" w:hAnsi="Arial" w:cs="Arial"/>
          <w:sz w:val="24"/>
        </w:rPr>
      </w:pPr>
      <w:r>
        <w:rPr>
          <w:rFonts w:cs="Arial" w:ascii="Arial" w:hAnsi="Arial"/>
          <w:sz w:val="24"/>
        </w:rPr>
        <w:t>&lt;150</w:t>
        <w:tab/>
        <w:tab/>
        <w:tab/>
        <w:tab/>
        <w:tab/>
        <w:tab/>
        <w:tab/>
        <w:t>CMR - $15</w:t>
      </w:r>
    </w:p>
    <w:p>
      <w:pPr>
        <w:pStyle w:val="Normal"/>
        <w:rPr>
          <w:rFonts w:ascii="Arial" w:hAnsi="Arial" w:cs="Arial"/>
          <w:sz w:val="24"/>
        </w:rPr>
      </w:pPr>
      <w:r>
        <w:rPr>
          <w:rFonts w:cs="Arial" w:ascii="Arial" w:hAnsi="Arial"/>
          <w:sz w:val="24"/>
        </w:rPr>
      </w:r>
    </w:p>
    <w:p>
      <w:pPr>
        <w:pStyle w:val="Normal"/>
        <w:spacing w:lineRule="auto" w:line="360"/>
        <w:rPr>
          <w:rFonts w:ascii="Arial" w:hAnsi="Arial" w:cs="Arial"/>
          <w:b/>
          <w:sz w:val="24"/>
        </w:rPr>
      </w:pPr>
      <w:r>
        <w:rPr>
          <w:rFonts w:cs="Arial" w:ascii="Arial" w:hAnsi="Arial"/>
          <w:b/>
          <w:sz w:val="24"/>
          <w:u w:val="single"/>
        </w:rPr>
        <w:t>Moisture Correction (%)*</w:t>
      </w:r>
    </w:p>
    <w:p>
      <w:pPr>
        <w:pStyle w:val="Normal"/>
        <w:spacing w:lineRule="auto" w:line="360"/>
        <w:rPr>
          <w:rFonts w:ascii="Arial" w:hAnsi="Arial" w:cs="Arial"/>
          <w:sz w:val="24"/>
        </w:rPr>
      </w:pPr>
      <w:r>
        <w:rPr>
          <w:rFonts w:cs="Arial" w:ascii="Arial" w:hAnsi="Arial"/>
          <w:sz w:val="24"/>
        </w:rPr>
        <w:t>&lt;0.7</w:t>
        <w:tab/>
        <w:tab/>
        <w:tab/>
        <w:tab/>
        <w:tab/>
        <w:tab/>
        <w:tab/>
        <w:t>+ $2</w:t>
      </w:r>
    </w:p>
    <w:p>
      <w:pPr>
        <w:pStyle w:val="Normal"/>
        <w:spacing w:lineRule="auto" w:line="360"/>
        <w:rPr>
          <w:rFonts w:ascii="Arial" w:hAnsi="Arial" w:cs="Arial"/>
          <w:sz w:val="24"/>
        </w:rPr>
      </w:pPr>
      <w:r>
        <w:rPr>
          <w:rFonts w:cs="Arial" w:ascii="Arial" w:hAnsi="Arial"/>
          <w:sz w:val="24"/>
        </w:rPr>
        <w:t>0.7 – 2.0</w:t>
        <w:tab/>
        <w:tab/>
        <w:tab/>
        <w:tab/>
        <w:tab/>
        <w:tab/>
        <w:t xml:space="preserve">   $0</w:t>
      </w:r>
    </w:p>
    <w:p>
      <w:pPr>
        <w:pStyle w:val="Normal"/>
        <w:spacing w:lineRule="auto" w:line="360"/>
        <w:rPr>
          <w:rFonts w:ascii="Arial" w:hAnsi="Arial" w:cs="Arial"/>
          <w:sz w:val="24"/>
        </w:rPr>
      </w:pPr>
      <w:r>
        <w:rPr>
          <w:rFonts w:cs="Arial" w:ascii="Arial" w:hAnsi="Arial"/>
          <w:sz w:val="24"/>
        </w:rPr>
        <w:t>&gt;2.0</w:t>
        <w:tab/>
        <w:tab/>
        <w:tab/>
        <w:tab/>
        <w:tab/>
        <w:tab/>
        <w:tab/>
        <w:t>-  $5</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Soap Pricing Structure</w:t>
      </w:r>
    </w:p>
    <w:p>
      <w:pPr>
        <w:pStyle w:val="Normal"/>
        <w:spacing w:lineRule="auto" w:line="360"/>
        <w:rPr>
          <w:rFonts w:ascii="Arial" w:hAnsi="Arial" w:cs="Arial"/>
          <w:b/>
          <w:sz w:val="24"/>
        </w:rPr>
      </w:pPr>
      <w:r>
        <w:rPr>
          <w:rFonts w:cs="Arial" w:ascii="Arial" w:hAnsi="Arial"/>
          <w:b/>
          <w:sz w:val="24"/>
          <w:u w:val="single"/>
        </w:rPr>
        <w:t>Quality of CTO from Soap (AcV)*</w:t>
      </w:r>
      <w:r>
        <w:rPr>
          <w:rFonts w:cs="Arial" w:ascii="Arial" w:hAnsi="Arial"/>
          <w:b/>
          <w:sz w:val="24"/>
        </w:rPr>
        <w:tab/>
        <w:tab/>
      </w:r>
      <w:r>
        <w:rPr>
          <w:rFonts w:cs="Arial" w:ascii="Arial" w:hAnsi="Arial"/>
          <w:b/>
          <w:sz w:val="24"/>
          <w:u w:val="single"/>
        </w:rPr>
        <w:t>Price**</w:t>
      </w:r>
    </w:p>
    <w:p>
      <w:pPr>
        <w:pStyle w:val="Normal"/>
        <w:spacing w:lineRule="auto" w:line="360"/>
        <w:rPr>
          <w:rFonts w:ascii="Arial" w:hAnsi="Arial" w:cs="Arial"/>
          <w:sz w:val="24"/>
        </w:rPr>
      </w:pPr>
      <w:r>
        <w:rPr>
          <w:rFonts w:cs="Arial" w:ascii="Arial" w:hAnsi="Arial"/>
          <w:sz w:val="24"/>
        </w:rPr>
        <w:t>155+</w:t>
        <w:tab/>
        <w:tab/>
        <w:tab/>
        <w:tab/>
        <w:tab/>
        <w:tab/>
        <w:tab/>
        <w:t>0.3 x CMR</w:t>
      </w:r>
    </w:p>
    <w:p>
      <w:pPr>
        <w:pStyle w:val="Normal"/>
        <w:spacing w:lineRule="auto" w:line="360"/>
        <w:rPr>
          <w:rFonts w:ascii="Arial" w:hAnsi="Arial" w:cs="Arial"/>
          <w:sz w:val="24"/>
        </w:rPr>
      </w:pPr>
      <w:r>
        <w:rPr>
          <w:rFonts w:cs="Arial" w:ascii="Arial" w:hAnsi="Arial"/>
          <w:sz w:val="24"/>
        </w:rPr>
        <w:t>&lt;155</w:t>
        <w:tab/>
        <w:tab/>
        <w:tab/>
        <w:tab/>
        <w:tab/>
        <w:tab/>
        <w:tab/>
        <w:t>0.1 x CMR</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u w:val="single"/>
        </w:rPr>
        <w:tab/>
        <w:tab/>
        <w:tab/>
        <w:tab/>
      </w:r>
    </w:p>
    <w:p>
      <w:pPr>
        <w:pStyle w:val="BodyText"/>
        <w:jc w:val="both"/>
        <w:rPr/>
      </w:pPr>
      <w:r>
        <w:rPr>
          <w:rFonts w:eastAsia="Arial"/>
        </w:rPr>
        <w:t xml:space="preserve">    </w:t>
      </w:r>
      <w:r>
        <w:rPr/>
        <w:t>*Value based on Crossett lab test results only using analytical method GPAM Number AM 3201.2 (AcV) and AM 3551.1 (moisture).  AcV (Acid Value) is run on a wet basis.  High moisture corrections are done on a load-by-load basis.</w:t>
      </w:r>
    </w:p>
    <w:p>
      <w:pPr>
        <w:pStyle w:val="Normal"/>
        <w:jc w:val="both"/>
        <w:rPr>
          <w:rFonts w:ascii="Arial" w:hAnsi="Arial" w:cs="Arial"/>
          <w:sz w:val="24"/>
        </w:rPr>
      </w:pPr>
      <w:r>
        <w:rPr>
          <w:rFonts w:eastAsia="Arial" w:cs="Arial" w:ascii="Arial" w:hAnsi="Arial"/>
          <w:sz w:val="24"/>
        </w:rPr>
        <w:t xml:space="preserve">   </w:t>
      </w:r>
      <w:r>
        <w:rPr>
          <w:rFonts w:cs="Arial" w:ascii="Arial" w:hAnsi="Arial"/>
          <w:sz w:val="24"/>
        </w:rPr>
        <w:t>**CMR denotes average of the high and low reported price from Chemical Market Reporter for previous quarter.</w:t>
      </w:r>
    </w:p>
    <w:p>
      <w:pPr>
        <w:pStyle w:val="Normal"/>
        <w:jc w:val="both"/>
        <w:rPr>
          <w:rFonts w:ascii="Arial" w:hAnsi="Arial" w:cs="Arial"/>
          <w:sz w:val="24"/>
        </w:rPr>
      </w:pPr>
      <w:r>
        <w:rPr>
          <w:rFonts w:eastAsia="Arial" w:cs="Arial" w:ascii="Arial" w:hAnsi="Arial"/>
          <w:sz w:val="24"/>
        </w:rPr>
        <w:t xml:space="preserve"> </w:t>
      </w:r>
      <w:r>
        <w:rPr>
          <w:rFonts w:cs="Arial" w:ascii="Arial" w:hAnsi="Arial"/>
          <w:sz w:val="24"/>
        </w:rPr>
        <w:t>***In the event that Tall Oil is "off-spec" due to excess water content, at Buyer's option, the price will be adjusted by deducting the weight of the excess water and the associated cost of freight for the water.  In the event that BLS is "off-spec" due to excess Free Black Liquor, the price will be adjusted by deducting the weight of the excess Free Black Liquor and the associated cost of freight for the free Black Liquor.</w:t>
      </w:r>
    </w:p>
    <w:sectPr>
      <w:footerReference w:type="default" r:id="rId4"/>
      <w:footerReference w:type="first" r:id="rId5"/>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326750</w:t>
    </w:r>
    <w:r>
      <w:rP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r>
      <w:rPr>
        <w:rStyle w:val="PageNumber"/>
        <w:sz w:val="22"/>
      </w:rPr>
      <w:t xml:space="preserve"> -</w:t>
      <w:tab/>
    </w:r>
  </w:p>
  <w:p>
    <w:pPr>
      <w:pStyle w:val="Footer"/>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326750</w:t>
    </w:r>
    <w:r>
      <w:rPr/>
      <w:tab/>
      <w:tab/>
      <w:t>9/13/01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326750</w:t>
    </w:r>
    <w:r>
      <w:rPr/>
      <w:tab/>
      <w:tab/>
      <w:t>11/15/00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rFonts w:eastAsia="Arial" w:cs="Arial" w:ascii="Arial" w:hAnsi="Arial"/>
          <w:sz w:val="24"/>
        </w:rPr>
        <w:t xml:space="preserve">   </w:t>
      </w:r>
      <w:r>
        <w:rPr>
          <w:rStyle w:val="FootnoteCharacters"/>
          <w:rFonts w:cs="Arial" w:ascii="Arial" w:hAnsi="Arial"/>
          <w:sz w:val="24"/>
        </w:rPr>
        <w:t>*</w:t>
      </w:r>
      <w:r>
        <w:rPr>
          <w:rFonts w:cs="Arial" w:ascii="Arial" w:hAnsi="Arial"/>
          <w:sz w:val="24"/>
        </w:rPr>
        <w:t xml:space="preserve"> As measured by GPAM Test method AM 3201.2</w:t>
      </w:r>
    </w:p>
  </w:footnote>
  <w:footnote w:id="3">
    <w:p>
      <w:pPr>
        <w:pStyle w:val="FootnoteText"/>
        <w:rPr/>
      </w:pPr>
      <w:r>
        <w:rPr>
          <w:rStyle w:val="FootnoteCharacters"/>
        </w:rPr>
        <w:t>*</w:t>
      </w:r>
      <w:r>
        <w:rPr>
          <w:rFonts w:eastAsia="Arial" w:cs="Arial" w:ascii="Arial" w:hAnsi="Arial"/>
          <w:sz w:val="24"/>
        </w:rPr>
        <w:t xml:space="preserve">  </w:t>
      </w:r>
      <w:r>
        <w:rPr>
          <w:rStyle w:val="FootnoteCharacters"/>
          <w:rFonts w:cs="Arial" w:ascii="Arial" w:hAnsi="Arial"/>
          <w:sz w:val="24"/>
        </w:rPr>
        <w:t>**</w:t>
      </w:r>
      <w:r>
        <w:rPr>
          <w:rFonts w:cs="Arial" w:ascii="Arial" w:hAnsi="Arial"/>
          <w:sz w:val="24"/>
        </w:rPr>
        <w:t xml:space="preserve"> As measured by GPAM Test method 3551.1</w:t>
      </w:r>
    </w:p>
  </w:footnote>
  <w:footnote w:id="4">
    <w:p>
      <w:pPr>
        <w:pStyle w:val="FootnoteText"/>
        <w:rPr/>
      </w:pPr>
      <w:r>
        <w:rPr>
          <w:rStyle w:val="FootnoteCharacters"/>
        </w:rPr>
        <w:t>*</w:t>
      </w:r>
      <w:r>
        <w:rPr>
          <w:rFonts w:eastAsia="Arial" w:cs="Arial" w:ascii="Arial" w:hAnsi="Arial"/>
          <w:sz w:val="24"/>
        </w:rPr>
        <w:t xml:space="preserve"> </w:t>
      </w:r>
      <w:r>
        <w:rPr>
          <w:rStyle w:val="FootnoteCharacters"/>
          <w:rFonts w:cs="Arial" w:ascii="Arial" w:hAnsi="Arial"/>
          <w:sz w:val="24"/>
        </w:rPr>
        <w:t>***</w:t>
      </w:r>
      <w:r>
        <w:rPr>
          <w:rFonts w:cs="Arial" w:ascii="Arial" w:hAnsi="Arial"/>
          <w:sz w:val="24"/>
        </w:rPr>
        <w:t xml:space="preserve"> Measured after acidulation</w:t>
      </w:r>
    </w:p>
  </w:footnote>
  <w:footnote w:id="5">
    <w:p>
      <w:pPr>
        <w:pStyle w:val="FootnoteText"/>
        <w:rPr/>
      </w:pPr>
      <w:r>
        <w:rPr>
          <w:rStyle w:val="FootnoteCharacters"/>
        </w:rPr>
        <w:t>*</w:t>
      </w:r>
      <w:r>
        <w:rPr>
          <w:rStyle w:val="FootnoteCharacters"/>
          <w:rFonts w:cs="Arial" w:ascii="Arial" w:hAnsi="Arial"/>
          <w:sz w:val="24"/>
        </w:rPr>
        <w:t>***</w:t>
      </w:r>
      <w:r>
        <w:rPr>
          <w:rFonts w:cs="Arial" w:ascii="Arial" w:hAnsi="Arial"/>
          <w:sz w:val="24"/>
        </w:rPr>
        <w:t xml:space="preserve"> As measured at time of unloading</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360"/>
        </w:tabs>
        <w:ind w:start="360" w:hanging="360"/>
      </w:pPr>
      <w:rPr/>
    </w:lvl>
    <w:lvl w:ilvl="1">
      <w:start w:val="5"/>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720"/>
        </w:tabs>
        <w:ind w:start="720" w:hanging="720"/>
      </w:pPr>
      <w:rPr/>
    </w:lvl>
    <w:lvl w:ilvl="1">
      <w:start w:val="1"/>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400"/>
        </w:tabs>
        <w:ind w:start="5400" w:hanging="108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640"/>
        </w:tabs>
        <w:ind w:start="8640" w:hanging="144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880"/>
        </w:tabs>
        <w:ind w:start="11880" w:hanging="1800"/>
      </w:pPr>
      <w:rPr/>
    </w:lvl>
    <w:lvl w:ilvl="8">
      <w:start w:val="1"/>
      <w:numFmt w:val="decimal"/>
      <w:lvlText w:val="%1.%2.%3.%4.%5.%6.%7.%8.%9"/>
      <w:lvlJc w:val="start"/>
      <w:pPr>
        <w:tabs>
          <w:tab w:val="num" w:pos="13320"/>
        </w:tabs>
        <w:ind w:start="13320" w:hanging="1800"/>
      </w:pPr>
      <w:rPr/>
    </w:lvl>
  </w:abstractNum>
  <w:abstractNum w:abstractNumId="5">
    <w:lvl w:ilvl="0">
      <w:start w:val="1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720"/>
        </w:tabs>
        <w:ind w:start="720" w:hanging="720"/>
      </w:pPr>
      <w:rPr>
        <w:rFonts w:ascii="Times New Roman" w:hAnsi="Times New Roman" w:cs="Times New Roman"/>
      </w:rPr>
    </w:lvl>
    <w:lvl w:ilvl="1">
      <w:start w:val="1"/>
      <w:numFmt w:val="decimal"/>
      <w:lvlText w:val="%1.%2"/>
      <w:lvlJc w:val="start"/>
      <w:pPr>
        <w:tabs>
          <w:tab w:val="num" w:pos="1440"/>
        </w:tabs>
        <w:ind w:start="1440" w:hanging="720"/>
      </w:pPr>
      <w:rPr>
        <w:rFonts w:ascii="Times New Roman" w:hAnsi="Times New Roman" w:cs="Times New Roman"/>
      </w:rPr>
    </w:lvl>
    <w:lvl w:ilvl="2">
      <w:start w:val="1"/>
      <w:numFmt w:val="decimal"/>
      <w:lvlText w:val="%1.%2.%3"/>
      <w:lvlJc w:val="start"/>
      <w:pPr>
        <w:tabs>
          <w:tab w:val="num" w:pos="2160"/>
        </w:tabs>
        <w:ind w:start="2160" w:hanging="720"/>
      </w:pPr>
      <w:rPr>
        <w:rFonts w:ascii="Times New Roman" w:hAnsi="Times New Roman" w:cs="Times New Roman"/>
      </w:rPr>
    </w:lvl>
    <w:lvl w:ilvl="3">
      <w:start w:val="1"/>
      <w:numFmt w:val="decimal"/>
      <w:lvlText w:val="%1.%2.%3.%4"/>
      <w:lvlJc w:val="start"/>
      <w:pPr>
        <w:tabs>
          <w:tab w:val="num" w:pos="2880"/>
        </w:tabs>
        <w:ind w:start="2880" w:hanging="720"/>
      </w:pPr>
      <w:rPr>
        <w:rFonts w:ascii="Times New Roman" w:hAnsi="Times New Roman" w:cs="Times New Roman"/>
      </w:rPr>
    </w:lvl>
    <w:lvl w:ilvl="4">
      <w:start w:val="1"/>
      <w:numFmt w:val="decimal"/>
      <w:lvlText w:val="%1.%2.%3.%4.%5"/>
      <w:lvlJc w:val="start"/>
      <w:pPr>
        <w:tabs>
          <w:tab w:val="num" w:pos="3960"/>
        </w:tabs>
        <w:ind w:start="3960" w:hanging="1080"/>
      </w:pPr>
      <w:rPr>
        <w:rFonts w:ascii="Times New Roman" w:hAnsi="Times New Roman" w:cs="Times New Roman"/>
      </w:rPr>
    </w:lvl>
    <w:lvl w:ilvl="5">
      <w:start w:val="1"/>
      <w:numFmt w:val="decimal"/>
      <w:lvlText w:val="%1.%2.%3.%4.%5.%6"/>
      <w:lvlJc w:val="start"/>
      <w:pPr>
        <w:tabs>
          <w:tab w:val="num" w:pos="4680"/>
        </w:tabs>
        <w:ind w:start="4680" w:hanging="1080"/>
      </w:pPr>
      <w:rPr>
        <w:rFonts w:ascii="Times New Roman" w:hAnsi="Times New Roman" w:cs="Times New Roman"/>
      </w:rPr>
    </w:lvl>
    <w:lvl w:ilvl="6">
      <w:start w:val="1"/>
      <w:numFmt w:val="decimal"/>
      <w:lvlText w:val="%1.%2.%3.%4.%5.%6.%7"/>
      <w:lvlJc w:val="start"/>
      <w:pPr>
        <w:tabs>
          <w:tab w:val="num" w:pos="5760"/>
        </w:tabs>
        <w:ind w:start="5760" w:hanging="1440"/>
      </w:pPr>
      <w:rPr>
        <w:rFonts w:ascii="Times New Roman" w:hAnsi="Times New Roman" w:cs="Times New Roman"/>
      </w:rPr>
    </w:lvl>
    <w:lvl w:ilvl="7">
      <w:start w:val="1"/>
      <w:numFmt w:val="decimal"/>
      <w:lvlText w:val="%1.%2.%3.%4.%5.%6.%7.%8"/>
      <w:lvlJc w:val="start"/>
      <w:pPr>
        <w:tabs>
          <w:tab w:val="num" w:pos="6480"/>
        </w:tabs>
        <w:ind w:start="6480" w:hanging="1440"/>
      </w:pPr>
      <w:rPr>
        <w:rFonts w:ascii="Times New Roman" w:hAnsi="Times New Roman" w:cs="Times New Roman"/>
      </w:rPr>
    </w:lvl>
    <w:lvl w:ilvl="8">
      <w:start w:val="1"/>
      <w:numFmt w:val="decimal"/>
      <w:lvlText w:val="%1.%2.%3.%4.%5.%6.%7.%8.%9"/>
      <w:lvlJc w:val="start"/>
      <w:pPr>
        <w:tabs>
          <w:tab w:val="num" w:pos="7560"/>
        </w:tabs>
        <w:ind w:start="7560" w:hanging="1800"/>
      </w:pPr>
      <w:rPr>
        <w:rFonts w:ascii="Times New Roman" w:hAnsi="Times New Roman" w:cs="Times New Roman"/>
      </w:rPr>
    </w:lvl>
  </w:abstractNum>
  <w:abstractNum w:abstractNumId="8">
    <w:lvl w:ilvl="0">
      <w:start w:val="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16"/>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32"/>
    </w:rPr>
  </w:style>
  <w:style w:type="paragraph" w:styleId="Heading3">
    <w:name w:val="heading 3"/>
    <w:basedOn w:val="Normal"/>
    <w:next w:val="Normal"/>
    <w:qFormat/>
    <w:pPr>
      <w:keepNext w:val="true"/>
      <w:numPr>
        <w:ilvl w:val="2"/>
        <w:numId w:val="1"/>
      </w:numPr>
      <w:ind w:hanging="720" w:start="0" w:end="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rial" w:hAnsi="Arial" w:cs="Arial"/>
      <w:sz w:val="24"/>
    </w:rPr>
  </w:style>
  <w:style w:type="paragraph" w:styleId="Heading5">
    <w:name w:val="heading 5"/>
    <w:basedOn w:val="Normal"/>
    <w:next w:val="Normal"/>
    <w:qFormat/>
    <w:pPr>
      <w:keepNext w:val="true"/>
      <w:numPr>
        <w:ilvl w:val="4"/>
        <w:numId w:val="1"/>
      </w:numPr>
      <w:jc w:val="center"/>
      <w:outlineLvl w:val="4"/>
    </w:pPr>
    <w:rPr>
      <w:rFonts w:ascii="Arial" w:hAnsi="Arial" w:cs="Arial"/>
      <w:sz w:val="24"/>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sz w:val="24"/>
      <w:u w:val="single"/>
    </w:rPr>
  </w:style>
  <w:style w:type="paragraph" w:styleId="Heading7">
    <w:name w:val="heading 7"/>
    <w:basedOn w:val="Normal"/>
    <w:next w:val="Normal"/>
    <w:qFormat/>
    <w:pPr>
      <w:keepNext w:val="true"/>
      <w:numPr>
        <w:ilvl w:val="6"/>
        <w:numId w:val="1"/>
      </w:numPr>
      <w:outlineLvl w:val="6"/>
    </w:pPr>
    <w:rPr>
      <w:rFonts w:ascii="Arial" w:hAnsi="Arial" w:cs="Arial"/>
      <w:sz w:val="24"/>
      <w:u w:val="single"/>
    </w:rPr>
  </w:style>
  <w:style w:type="character" w:styleId="WW8Num1z0">
    <w:name w:val="WW8Num1z0"/>
    <w:qFormat/>
    <w:rPr>
      <w:rFonts w:ascii="Arial" w:hAnsi="Arial" w:cs="Arial"/>
      <w:b/>
      <w:i w:val="false"/>
      <w:sz w:val="24"/>
    </w:rPr>
  </w:style>
  <w:style w:type="character" w:styleId="WW8Num1z1">
    <w:name w:val="WW8Num1z1"/>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Arial" w:hAnsi="Arial" w:cs="Arial"/>
      <w:b/>
      <w:i w:val="false"/>
      <w:sz w:val="24"/>
    </w:rPr>
  </w:style>
  <w:style w:type="character" w:styleId="WW8Num15z1">
    <w:name w:val="WW8Num15z1"/>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sz w:val="24"/>
      <w:u w:val="single"/>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360"/>
      <w:ind w:firstLine="720" w:start="720" w:end="0"/>
      <w:jc w:val="both"/>
    </w:pPr>
    <w:rPr>
      <w:sz w:val="24"/>
    </w:rPr>
  </w:style>
  <w:style w:type="paragraph" w:styleId="BodyTextIndent">
    <w:name w:val="Body Text Indent"/>
    <w:basedOn w:val="Normal"/>
    <w:pPr>
      <w:ind w:hanging="0" w:start="2160" w:end="0"/>
    </w:pPr>
    <w:rPr>
      <w:rFonts w:ascii="Arial" w:hAnsi="Arial" w:cs="Arial"/>
      <w:sz w:val="24"/>
    </w:rPr>
  </w:style>
  <w:style w:type="paragraph" w:styleId="BodyTextIndent3">
    <w:name w:val="Body Text Indent 3"/>
    <w:basedOn w:val="Normal"/>
    <w:qFormat/>
    <w:pPr>
      <w:ind w:firstLine="720" w:start="0" w:end="0"/>
    </w:pPr>
    <w:rPr>
      <w:rFonts w:ascii="Arial" w:hAnsi="Arial" w:cs="Arial"/>
      <w:sz w:val="24"/>
    </w:rPr>
  </w:style>
  <w:style w:type="paragraph" w:styleId="BodyText3">
    <w:name w:val="Body Text 3"/>
    <w:basedOn w:val="Normal"/>
    <w:qFormat/>
    <w:pPr>
      <w:jc w:val="both"/>
    </w:pPr>
    <w:rPr>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2001-09-14T16:01:00Z</dcterms:created>
  <dc:creator>CLELSTON</dc:creator>
  <dc:description/>
  <dc:language>en-CA</dc:language>
  <cp:lastModifiedBy>Tony Rothermel</cp:lastModifiedBy>
  <cp:lastPrinted>2001-09-14T14:42:00Z</cp:lastPrinted>
  <dcterms:modified xsi:type="dcterms:W3CDTF">2001-09-14T16:29:00Z</dcterms:modified>
  <cp:revision>8</cp:revision>
  <dc:subject/>
  <dc:title>Gypsum Rock Purchase Agmt (MI)</dc:title>
</cp:coreProperties>
</file>