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18" w:space="1" w:color="000000"/>
          <w:left w:val="single" w:sz="18" w:space="1" w:color="000000"/>
          <w:bottom w:val="single" w:sz="18" w:space="1" w:color="000000"/>
          <w:right w:val="single" w:sz="18" w:space="1" w:color="000000"/>
        </w:pBdr>
        <w:jc w:val="center"/>
        <w:rPr>
          <w:sz w:val="22"/>
        </w:rPr>
      </w:pPr>
      <w:r>
        <w:rPr>
          <w:b/>
          <w:sz w:val="22"/>
        </w:rPr>
        <w:t>GUARANTEE AGREEMENT</w:t>
      </w:r>
    </w:p>
    <w:p>
      <w:pPr>
        <w:pStyle w:val="Normal"/>
        <w:rPr>
          <w:sz w:val="22"/>
        </w:rPr>
      </w:pPr>
      <w:r>
        <w:rPr>
          <w:sz w:val="22"/>
        </w:rPr>
      </w:r>
    </w:p>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1728"/>
        <w:gridCol w:w="7848"/>
      </w:tblGrid>
      <w:tr>
        <w:trPr/>
        <w:tc>
          <w:tcPr>
            <w:tcW w:w="1728" w:type="dxa"/>
            <w:tcBorders>
              <w:top w:val="single" w:sz="6" w:space="0" w:color="000000"/>
              <w:start w:val="single" w:sz="6" w:space="0" w:color="000000"/>
              <w:bottom w:val="single" w:sz="6" w:space="0" w:color="000000"/>
              <w:end w:val="single" w:sz="6" w:space="0" w:color="000000"/>
            </w:tcBorders>
          </w:tcPr>
          <w:p>
            <w:pPr>
              <w:pStyle w:val="Normal"/>
              <w:spacing w:before="0" w:after="60"/>
              <w:rPr>
                <w:b/>
                <w:sz w:val="22"/>
              </w:rPr>
            </w:pPr>
            <w:r>
              <w:rPr>
                <w:b/>
                <w:sz w:val="22"/>
              </w:rPr>
              <w:t>Date:</w:t>
            </w:r>
          </w:p>
        </w:tc>
        <w:tc>
          <w:tcPr>
            <w:tcW w:w="7848" w:type="dxa"/>
            <w:tcBorders>
              <w:top w:val="single" w:sz="6" w:space="0" w:color="000000"/>
              <w:start w:val="single" w:sz="6" w:space="0" w:color="000000"/>
              <w:bottom w:val="single" w:sz="6" w:space="0" w:color="000000"/>
              <w:end w:val="single" w:sz="6" w:space="0" w:color="000000"/>
            </w:tcBorders>
          </w:tcPr>
          <w:p>
            <w:pPr>
              <w:pStyle w:val="Normal"/>
              <w:spacing w:before="0" w:after="60"/>
              <w:rPr>
                <w:sz w:val="22"/>
              </w:rPr>
            </w:pPr>
            <w:r>
              <w:rPr>
                <w:sz w:val="22"/>
              </w:rPr>
              <w:t>This Guarantee Agreement is made October __, 2001.</w:t>
            </w:r>
          </w:p>
        </w:tc>
      </w:tr>
      <w:tr>
        <w:trPr/>
        <w:tc>
          <w:tcPr>
            <w:tcW w:w="1728" w:type="dxa"/>
            <w:tcBorders>
              <w:top w:val="single" w:sz="6" w:space="0" w:color="000000"/>
              <w:start w:val="single" w:sz="6" w:space="0" w:color="000000"/>
              <w:bottom w:val="single" w:sz="6" w:space="0" w:color="000000"/>
              <w:end w:val="single" w:sz="6" w:space="0" w:color="000000"/>
            </w:tcBorders>
          </w:tcPr>
          <w:p>
            <w:pPr>
              <w:pStyle w:val="Normal"/>
              <w:spacing w:before="0" w:after="60"/>
              <w:rPr>
                <w:b/>
                <w:sz w:val="22"/>
              </w:rPr>
            </w:pPr>
            <w:r>
              <w:rPr>
                <w:b/>
                <w:sz w:val="22"/>
              </w:rPr>
              <w:t>Granted To:</w:t>
            </w:r>
          </w:p>
        </w:tc>
        <w:tc>
          <w:tcPr>
            <w:tcW w:w="7848" w:type="dxa"/>
            <w:tcBorders>
              <w:top w:val="single" w:sz="6" w:space="0" w:color="000000"/>
              <w:start w:val="single" w:sz="6" w:space="0" w:color="000000"/>
              <w:bottom w:val="single" w:sz="6" w:space="0" w:color="000000"/>
              <w:end w:val="single" w:sz="6" w:space="0" w:color="000000"/>
            </w:tcBorders>
          </w:tcPr>
          <w:p>
            <w:pPr>
              <w:pStyle w:val="Normal"/>
              <w:spacing w:before="0" w:after="60"/>
              <w:rPr/>
            </w:pPr>
            <w:r>
              <w:rPr>
                <w:sz w:val="22"/>
              </w:rPr>
              <w:t>Enron North America Corp., a body corporate incorporated under the laws of the State of Delaware (collectively, the “</w:t>
            </w:r>
            <w:r>
              <w:rPr>
                <w:b/>
                <w:sz w:val="22"/>
              </w:rPr>
              <w:t>Beneficiary</w:t>
            </w:r>
            <w:r>
              <w:rPr>
                <w:sz w:val="22"/>
              </w:rPr>
              <w:t>”).</w:t>
            </w:r>
          </w:p>
        </w:tc>
      </w:tr>
      <w:tr>
        <w:trPr/>
        <w:tc>
          <w:tcPr>
            <w:tcW w:w="1728" w:type="dxa"/>
            <w:tcBorders>
              <w:top w:val="single" w:sz="6" w:space="0" w:color="000000"/>
              <w:start w:val="single" w:sz="6" w:space="0" w:color="000000"/>
              <w:bottom w:val="single" w:sz="6" w:space="0" w:color="000000"/>
              <w:end w:val="single" w:sz="6" w:space="0" w:color="000000"/>
            </w:tcBorders>
          </w:tcPr>
          <w:p>
            <w:pPr>
              <w:pStyle w:val="Normal"/>
              <w:spacing w:before="0" w:after="60"/>
              <w:rPr>
                <w:b/>
                <w:sz w:val="22"/>
              </w:rPr>
            </w:pPr>
            <w:r>
              <w:rPr>
                <w:b/>
                <w:sz w:val="22"/>
              </w:rPr>
              <w:t>Granted By:</w:t>
            </w:r>
          </w:p>
        </w:tc>
        <w:tc>
          <w:tcPr>
            <w:tcW w:w="7848" w:type="dxa"/>
            <w:tcBorders>
              <w:top w:val="single" w:sz="6" w:space="0" w:color="000000"/>
              <w:start w:val="single" w:sz="6" w:space="0" w:color="000000"/>
              <w:bottom w:val="single" w:sz="6" w:space="0" w:color="000000"/>
              <w:end w:val="single" w:sz="6" w:space="0" w:color="000000"/>
            </w:tcBorders>
          </w:tcPr>
          <w:p>
            <w:pPr>
              <w:pStyle w:val="Normal"/>
              <w:spacing w:before="0" w:after="60"/>
              <w:rPr/>
            </w:pPr>
            <w:r>
              <w:rPr>
                <w:sz w:val="22"/>
              </w:rPr>
              <w:t>TransAlta Corporation, a body corporate incorporated under the laws of Canada (the “</w:t>
            </w:r>
            <w:r>
              <w:rPr>
                <w:b/>
                <w:sz w:val="22"/>
              </w:rPr>
              <w:t>Guarantor</w:t>
            </w:r>
            <w:r>
              <w:rPr>
                <w:sz w:val="22"/>
              </w:rPr>
              <w:t>”).</w:t>
            </w:r>
          </w:p>
        </w:tc>
      </w:tr>
      <w:tr>
        <w:trPr/>
        <w:tc>
          <w:tcPr>
            <w:tcW w:w="1728" w:type="dxa"/>
            <w:tcBorders>
              <w:top w:val="single" w:sz="6" w:space="0" w:color="000000"/>
              <w:start w:val="single" w:sz="6" w:space="0" w:color="000000"/>
              <w:bottom w:val="single" w:sz="6" w:space="0" w:color="000000"/>
              <w:end w:val="single" w:sz="6" w:space="0" w:color="000000"/>
            </w:tcBorders>
          </w:tcPr>
          <w:p>
            <w:pPr>
              <w:pStyle w:val="Normal"/>
              <w:spacing w:before="0" w:after="60"/>
              <w:rPr>
                <w:b/>
                <w:sz w:val="22"/>
              </w:rPr>
            </w:pPr>
            <w:r>
              <w:rPr>
                <w:b/>
                <w:sz w:val="22"/>
              </w:rPr>
              <w:t>Re:</w:t>
            </w:r>
          </w:p>
        </w:tc>
        <w:tc>
          <w:tcPr>
            <w:tcW w:w="7848" w:type="dxa"/>
            <w:tcBorders>
              <w:top w:val="single" w:sz="6" w:space="0" w:color="000000"/>
              <w:start w:val="single" w:sz="6" w:space="0" w:color="000000"/>
              <w:bottom w:val="single" w:sz="6" w:space="0" w:color="000000"/>
              <w:end w:val="single" w:sz="6" w:space="0" w:color="000000"/>
            </w:tcBorders>
          </w:tcPr>
          <w:p>
            <w:pPr>
              <w:pStyle w:val="Normal"/>
              <w:spacing w:before="0" w:after="60"/>
              <w:rPr/>
            </w:pPr>
            <w:r>
              <w:rPr>
                <w:sz w:val="22"/>
              </w:rPr>
              <w:t>TransAlta Energy Marketing (U.S.) Inc., a body corporate incorporated under the laws of the State of Delaware (the “</w:t>
            </w:r>
            <w:r>
              <w:rPr>
                <w:b/>
                <w:sz w:val="22"/>
              </w:rPr>
              <w:t>Guarantor’s Subsidiary</w:t>
            </w:r>
            <w:r>
              <w:rPr>
                <w:sz w:val="22"/>
              </w:rPr>
              <w:t>”).</w:t>
            </w:r>
          </w:p>
        </w:tc>
      </w:tr>
      <w:tr>
        <w:trPr/>
        <w:tc>
          <w:tcPr>
            <w:tcW w:w="1728" w:type="dxa"/>
            <w:tcBorders>
              <w:top w:val="single" w:sz="6" w:space="0" w:color="000000"/>
              <w:start w:val="single" w:sz="6" w:space="0" w:color="000000"/>
              <w:bottom w:val="single" w:sz="6" w:space="0" w:color="000000"/>
              <w:end w:val="single" w:sz="6" w:space="0" w:color="000000"/>
            </w:tcBorders>
          </w:tcPr>
          <w:p>
            <w:pPr>
              <w:pStyle w:val="Normal"/>
              <w:spacing w:before="0" w:after="60"/>
              <w:rPr>
                <w:b/>
                <w:sz w:val="22"/>
              </w:rPr>
            </w:pPr>
            <w:r>
              <w:rPr>
                <w:b/>
                <w:sz w:val="22"/>
              </w:rPr>
              <w:t>Guaranteed Amount:</w:t>
            </w:r>
          </w:p>
        </w:tc>
        <w:tc>
          <w:tcPr>
            <w:tcW w:w="7848"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60"/>
              <w:rPr>
                <w:b/>
                <w:sz w:val="22"/>
              </w:rPr>
            </w:pPr>
            <w:r>
              <w:rPr>
                <w:b/>
                <w:sz w:val="22"/>
              </w:rPr>
            </w:r>
          </w:p>
          <w:p>
            <w:pPr>
              <w:pStyle w:val="Normal"/>
              <w:spacing w:before="0" w:after="60"/>
              <w:rPr>
                <w:sz w:val="22"/>
              </w:rPr>
            </w:pPr>
            <w:r>
              <w:rPr>
                <w:sz w:val="22"/>
              </w:rPr>
              <w:t>$ 10,000,000 US</w:t>
            </w:r>
          </w:p>
        </w:tc>
      </w:tr>
    </w:tbl>
    <w:p>
      <w:pPr>
        <w:pStyle w:val="Normal"/>
        <w:rPr>
          <w:sz w:val="22"/>
        </w:rPr>
      </w:pPr>
      <w:r>
        <w:rPr>
          <w:sz w:val="22"/>
        </w:rPr>
      </w:r>
    </w:p>
    <w:p>
      <w:pPr>
        <w:pStyle w:val="Normal"/>
        <w:rPr/>
      </w:pPr>
      <w:r>
        <w:rPr>
          <w:sz w:val="22"/>
        </w:rPr>
        <w:t>The Beneficiary and Guarantor’s Subsidiary have entered into an ISDA Master Agreement dated May 14, 1998 (the “</w:t>
      </w:r>
      <w:r>
        <w:rPr>
          <w:b/>
          <w:sz w:val="22"/>
        </w:rPr>
        <w:t>Agreement</w:t>
      </w:r>
      <w:r>
        <w:rPr>
          <w:sz w:val="22"/>
        </w:rPr>
        <w:t>”).  As a result of the Agreement between Beneficiary and Guarantor’s Subsidiary, Beneficiary will or may be extending credit to Guarantor’s Subsidiary and Guarantor wishes to provide this Guarantee to the Beneficiary as part of the Guarantor’s Subsidiary’s consideration for such Agreement and to induce the Beneficiary to extend such credit to the Guarantor’s Subsidiary.</w:t>
      </w:r>
    </w:p>
    <w:p>
      <w:pPr>
        <w:pStyle w:val="Normal"/>
        <w:rPr>
          <w:sz w:val="22"/>
        </w:rPr>
      </w:pPr>
      <w:r>
        <w:rPr>
          <w:sz w:val="22"/>
        </w:rPr>
      </w:r>
    </w:p>
    <w:p>
      <w:pPr>
        <w:pStyle w:val="Normal"/>
        <w:rPr>
          <w:sz w:val="22"/>
        </w:rPr>
      </w:pPr>
      <w:r>
        <w:rPr>
          <w:sz w:val="22"/>
        </w:rPr>
        <w:t>Accordingly, in consideration of value received by the Beneficiary, and to induce the Beneficiary to enter into or consider entering into The Agreement with the Guarantor’s Subsidiary, the Guarantor hereby agree as follows:</w:t>
      </w:r>
    </w:p>
    <w:p>
      <w:pPr>
        <w:pStyle w:val="Normal"/>
        <w:rPr>
          <w:sz w:val="22"/>
        </w:rPr>
      </w:pPr>
      <w:r>
        <w:rPr>
          <w:sz w:val="22"/>
        </w:rPr>
      </w:r>
    </w:p>
    <w:p>
      <w:pPr>
        <w:pStyle w:val="Heading1"/>
        <w:ind w:hanging="0" w:start="0"/>
        <w:rPr>
          <w:sz w:val="22"/>
          <w:lang w:val="en-US" w:eastAsia="en-US"/>
        </w:rPr>
      </w:pPr>
      <w:r>
        <w:rPr>
          <w:b/>
          <w:sz w:val="22"/>
          <w:lang w:val="en-US" w:eastAsia="en-US"/>
        </w:rPr>
        <w:t>Guarantee:</w:t>
      </w:r>
      <w:r>
        <w:rPr>
          <w:sz w:val="22"/>
          <w:lang w:val="en-US" w:eastAsia="en-US"/>
        </w:rPr>
        <w:t xml:space="preserve">  The Guarantor hereby unconditionally and irrevocably guarantees the prompt and punctual payment when due by Guarantor’s Subsidiary, of all current and future obligations and liabilities of Guarantor’s Subsidiary owed to the Beneficiary arising under or pursuant to the Agreement (the “</w:t>
      </w:r>
      <w:r>
        <w:rPr>
          <w:b/>
          <w:sz w:val="22"/>
          <w:lang w:val="en-US" w:eastAsia="en-US"/>
        </w:rPr>
        <w:t>Obligations</w:t>
      </w:r>
      <w:r>
        <w:rPr>
          <w:sz w:val="22"/>
          <w:lang w:val="en-US" w:eastAsia="en-US"/>
        </w:rPr>
        <w:t>”) all in accordance with the terms of the Agreement and this Guarantee Agreement.  For greater certainty, the “Obligations” include:</w:t>
      </w:r>
    </w:p>
    <w:p>
      <w:pPr>
        <w:pStyle w:val="Normal"/>
        <w:rPr>
          <w:sz w:val="22"/>
          <w:lang w:val="en-US" w:eastAsia="en-US"/>
        </w:rPr>
      </w:pPr>
      <w:r>
        <w:rPr>
          <w:sz w:val="22"/>
          <w:lang w:val="en-US" w:eastAsia="en-US"/>
        </w:rPr>
      </w:r>
    </w:p>
    <w:p>
      <w:pPr>
        <w:pStyle w:val="Heading2"/>
        <w:ind w:hanging="0" w:start="0"/>
        <w:rPr>
          <w:sz w:val="22"/>
        </w:rPr>
      </w:pPr>
      <w:r>
        <w:rPr>
          <w:sz w:val="22"/>
        </w:rPr>
        <w:t xml:space="preserve">all taxes which may be payable pursuant to the applicable Agreement; </w:t>
      </w:r>
    </w:p>
    <w:p>
      <w:pPr>
        <w:pStyle w:val="Normal"/>
        <w:rPr>
          <w:sz w:val="22"/>
        </w:rPr>
      </w:pPr>
      <w:r>
        <w:rPr>
          <w:sz w:val="22"/>
        </w:rPr>
      </w:r>
    </w:p>
    <w:p>
      <w:pPr>
        <w:pStyle w:val="Heading2"/>
        <w:ind w:hanging="0" w:start="0"/>
        <w:rPr>
          <w:sz w:val="22"/>
        </w:rPr>
      </w:pPr>
      <w:r>
        <w:rPr>
          <w:sz w:val="22"/>
        </w:rPr>
        <w:t>interest, late and service fees and other charges payable pursuant to the applicable Agreement; and</w:t>
      </w:r>
    </w:p>
    <w:p>
      <w:pPr>
        <w:pStyle w:val="Normal"/>
        <w:rPr>
          <w:sz w:val="22"/>
        </w:rPr>
      </w:pPr>
      <w:r>
        <w:rPr>
          <w:sz w:val="22"/>
        </w:rPr>
      </w:r>
    </w:p>
    <w:p>
      <w:pPr>
        <w:pStyle w:val="Heading2"/>
        <w:ind w:hanging="0" w:start="0"/>
        <w:rPr>
          <w:sz w:val="22"/>
        </w:rPr>
      </w:pPr>
      <w:r>
        <w:rPr>
          <w:sz w:val="22"/>
        </w:rPr>
        <w:t>damages and liquidated damages but only if, and to the extent contemplated as being payable pursuant to the applicable Agreement.</w:t>
      </w:r>
    </w:p>
    <w:p>
      <w:pPr>
        <w:pStyle w:val="Normal"/>
        <w:rPr>
          <w:sz w:val="22"/>
        </w:rPr>
      </w:pPr>
      <w:r>
        <w:rPr>
          <w:sz w:val="22"/>
        </w:rPr>
      </w:r>
    </w:p>
    <w:p>
      <w:pPr>
        <w:pStyle w:val="Heading1"/>
        <w:ind w:hanging="0" w:start="0"/>
        <w:jc w:val="start"/>
        <w:rPr>
          <w:sz w:val="22"/>
          <w:lang w:val="en-US" w:eastAsia="en-US"/>
        </w:rPr>
      </w:pPr>
      <w:r>
        <w:rPr>
          <w:b/>
          <w:sz w:val="22"/>
          <w:lang w:val="en-US" w:eastAsia="en-US"/>
        </w:rPr>
        <w:t>Limitation:</w:t>
      </w:r>
      <w:r>
        <w:rPr>
          <w:sz w:val="22"/>
          <w:lang w:val="en-US" w:eastAsia="en-US"/>
        </w:rPr>
        <w:t xml:space="preserve">  Notwithstanding anything else contained within this Guarantee Agreement, the maximum liability of the Guarantor in respect of any or all of the Obligations shall not, in any event or circumstance, exceed or aggregate to exceed over time the Guaranteed Amount identified above.</w:t>
      </w:r>
      <w:r>
        <w:br w:type="page"/>
      </w:r>
    </w:p>
    <w:p>
      <w:pPr>
        <w:pStyle w:val="Heading1"/>
        <w:ind w:hanging="0" w:start="0"/>
        <w:jc w:val="start"/>
        <w:rPr>
          <w:sz w:val="22"/>
        </w:rPr>
      </w:pPr>
      <w:r>
        <w:rPr>
          <w:sz w:val="22"/>
          <w:lang w:val="en-US" w:eastAsia="en-US"/>
        </w:rPr>
      </w:r>
    </w:p>
    <w:p>
      <w:pPr>
        <w:pStyle w:val="Heading1"/>
        <w:ind w:hanging="0" w:start="0"/>
        <w:rPr>
          <w:sz w:val="22"/>
        </w:rPr>
      </w:pPr>
      <w:r>
        <w:rPr>
          <w:b/>
          <w:sz w:val="22"/>
        </w:rPr>
        <w:t>Nature of Guarantee:</w:t>
      </w:r>
      <w:r>
        <w:rPr>
          <w:sz w:val="22"/>
        </w:rPr>
        <w:t xml:space="preserve">  The Guarantor’s obligations hereunder with respect to any of the Obligations shall not be affected by the existence of or any change in the validity, enforceability, perfection or the extent of any collateral or security for the Obligations.  The Beneficiary shall not be obligated to file any claim relating to the Obligations owing to it in the event that the Guarantor’s Subsidiary becomes subject to a bankruptcy, reorganization or similar proceeding and the failure of the Beneficiary to so file shall not affect the Guarantor’s obligations hereunder.  In the event that any payment related to an Obligation is rescinded or must otherwise be returned by the Beneficiary for any reason whatsoever, the Guarantor shall remain liable hereunder in respect to such rescinded or returned payment as if it had not been made.  The Guarantor reserves the right to assert defences which Guarantor’s Subsidiary may have to the payment of any Obligation other than defences arising from the bankruptcy or insolvency of the Guarantor’s Subsidiary and other defences expressly waived hereby.</w:t>
      </w:r>
    </w:p>
    <w:p>
      <w:pPr>
        <w:pStyle w:val="Normal"/>
        <w:rPr>
          <w:sz w:val="22"/>
        </w:rPr>
      </w:pPr>
      <w:r>
        <w:rPr>
          <w:sz w:val="22"/>
        </w:rPr>
      </w:r>
    </w:p>
    <w:p>
      <w:pPr>
        <w:pStyle w:val="Heading1"/>
        <w:ind w:hanging="0" w:start="0"/>
        <w:rPr>
          <w:sz w:val="22"/>
          <w:lang w:val="en-US" w:eastAsia="en-US"/>
        </w:rPr>
      </w:pPr>
      <w:r>
        <w:rPr>
          <w:b/>
          <w:sz w:val="22"/>
          <w:lang w:val="en-US" w:eastAsia="en-US"/>
        </w:rPr>
        <w:t>Consents, Waivers and Renewals:</w:t>
      </w:r>
    </w:p>
    <w:p>
      <w:pPr>
        <w:pStyle w:val="Normal"/>
        <w:rPr>
          <w:sz w:val="22"/>
          <w:lang w:val="en-US" w:eastAsia="en-US"/>
        </w:rPr>
      </w:pPr>
      <w:r>
        <w:rPr>
          <w:sz w:val="22"/>
          <w:lang w:val="en-US" w:eastAsia="en-US"/>
        </w:rPr>
      </w:r>
    </w:p>
    <w:p>
      <w:pPr>
        <w:pStyle w:val="Heading2"/>
        <w:ind w:hanging="0" w:start="0"/>
        <w:rPr>
          <w:sz w:val="22"/>
        </w:rPr>
      </w:pPr>
      <w:r>
        <w:rPr>
          <w:sz w:val="22"/>
        </w:rPr>
        <w:t>The Guarantor agrees that the Beneficiary and the Guarantor’s Subsidiary may mutually agree to modify the Obligations or Agreement between the Beneficiary and the Guarantor’s Subsidiary without in any way impairing or affecting this Guarantee Agreement.  In addition, the Guarantor waives all right to receive any notice in respect of the creation of any Transaction, Transaction Agreement or Obligation or any amendment to any of them.</w:t>
      </w:r>
    </w:p>
    <w:p>
      <w:pPr>
        <w:pStyle w:val="Normal"/>
        <w:rPr>
          <w:sz w:val="16"/>
        </w:rPr>
      </w:pPr>
      <w:r>
        <w:rPr>
          <w:sz w:val="16"/>
        </w:rPr>
      </w:r>
    </w:p>
    <w:p>
      <w:pPr>
        <w:pStyle w:val="Heading2"/>
        <w:ind w:hanging="0" w:start="0"/>
        <w:rPr>
          <w:sz w:val="22"/>
        </w:rPr>
      </w:pPr>
      <w:r>
        <w:rPr>
          <w:sz w:val="22"/>
        </w:rPr>
        <w:t>The Guarantor agrees that the Beneficiary may resort to the Guarantor for the payment of the Obligations whether or not the Beneficiary shall have resorted to any collateral security or shall have proceeded against any other obligator principally or secondarily obligated with respect to any of the Obligations.</w:t>
      </w:r>
    </w:p>
    <w:p>
      <w:pPr>
        <w:pStyle w:val="Normal"/>
        <w:rPr>
          <w:sz w:val="16"/>
        </w:rPr>
      </w:pPr>
      <w:r>
        <w:rPr>
          <w:sz w:val="16"/>
        </w:rPr>
      </w:r>
    </w:p>
    <w:p>
      <w:pPr>
        <w:pStyle w:val="Heading2"/>
        <w:ind w:hanging="0" w:start="0"/>
        <w:rPr>
          <w:sz w:val="22"/>
        </w:rPr>
      </w:pPr>
      <w:r>
        <w:rPr>
          <w:sz w:val="22"/>
        </w:rPr>
        <w:t>Upon the failure by the Guarantor’s Subsidiary to discharge any of the Obligations, the Beneficiary shall make demand for payment upon the Guarantor.  Such demand shall be in writing and shall state the amount Guarantor’s Subsidiary has failed to pay and an explanation of why such payment is due together with a specific statement that Beneficiary is calling upon Guarantor to pay the Obligation under this Guarantee.  Other than such demand for payment, the Guarantor hereby waives notice of acceptance of this Guarantee and any notice of presentment or of protest and all other notices whatsoever.</w:t>
      </w:r>
    </w:p>
    <w:p>
      <w:pPr>
        <w:pStyle w:val="Normal"/>
        <w:rPr>
          <w:sz w:val="22"/>
        </w:rPr>
      </w:pPr>
      <w:r>
        <w:rPr>
          <w:sz w:val="22"/>
        </w:rPr>
      </w:r>
    </w:p>
    <w:p>
      <w:pPr>
        <w:pStyle w:val="Heading1"/>
        <w:ind w:hanging="0" w:start="0"/>
        <w:rPr>
          <w:sz w:val="22"/>
          <w:lang w:val="en-US" w:eastAsia="en-US"/>
        </w:rPr>
      </w:pPr>
      <w:r>
        <w:rPr>
          <w:b/>
          <w:sz w:val="22"/>
          <w:lang w:val="en-US" w:eastAsia="en-US"/>
        </w:rPr>
        <w:t>Subrogation:</w:t>
      </w:r>
      <w:r>
        <w:rPr>
          <w:sz w:val="22"/>
          <w:lang w:val="en-US" w:eastAsia="en-US"/>
        </w:rPr>
        <w:t xml:space="preserve">  Upon payment of all Obligations owing to the Beneficiary in respect of a particular Transaction, the Guarantor shall be subrogated to the rights of the Beneficiary against the Guarantor’s Subsidiary in respect of such Transaction and the Beneficiary shall take, at the Guarantor’s expense, all such steps as the Guarantor may reasonably request to implement such subrogation.</w:t>
      </w:r>
    </w:p>
    <w:p>
      <w:pPr>
        <w:pStyle w:val="Normal"/>
        <w:rPr>
          <w:sz w:val="22"/>
          <w:lang w:val="en-US" w:eastAsia="en-US"/>
        </w:rPr>
      </w:pPr>
      <w:r>
        <w:rPr>
          <w:sz w:val="22"/>
          <w:lang w:val="en-US" w:eastAsia="en-US"/>
        </w:rPr>
      </w:r>
    </w:p>
    <w:p>
      <w:pPr>
        <w:pStyle w:val="Heading1"/>
        <w:ind w:hanging="0" w:start="0"/>
        <w:rPr>
          <w:sz w:val="22"/>
          <w:lang w:val="en-US" w:eastAsia="en-US"/>
        </w:rPr>
      </w:pPr>
      <w:r>
        <w:rPr>
          <w:b/>
          <w:sz w:val="22"/>
          <w:lang w:val="en-US" w:eastAsia="en-US"/>
        </w:rPr>
        <w:t>Termination:</w:t>
      </w:r>
      <w:r>
        <w:rPr>
          <w:sz w:val="22"/>
          <w:lang w:val="en-US" w:eastAsia="en-US"/>
        </w:rPr>
        <w:t xml:space="preserve">  This Guarantee Agreement and the guarantee it contains may be terminated upon receipt of written notice by the Beneficiary from the Guarantor,</w:t>
      </w:r>
      <w:r>
        <w:rPr>
          <w:sz w:val="22"/>
        </w:rPr>
        <w:t xml:space="preserve"> however no such termination shall be effective until five (5) business days after receipt by Beneficiary of such termination notice</w:t>
      </w:r>
      <w:r>
        <w:rPr>
          <w:sz w:val="22"/>
          <w:lang w:val="en-US" w:eastAsia="en-US"/>
        </w:rPr>
        <w:t>; furthermore that this Guarantee shall remain in full force and effect after such termination until all Obligations of the Guarantor’s Subsidiary to the Beneficiary outstanding, contracted or committed for (whether or not outstanding) before such termination shall be finally and irrevocably paid in full.</w:t>
      </w:r>
      <w:r>
        <w:br w:type="page"/>
      </w:r>
    </w:p>
    <w:p>
      <w:pPr>
        <w:pStyle w:val="Heading1"/>
        <w:keepNext w:val="true"/>
        <w:keepLines/>
        <w:ind w:hanging="0" w:start="0"/>
        <w:rPr>
          <w:sz w:val="22"/>
          <w:lang w:val="en-US" w:eastAsia="en-US"/>
        </w:rPr>
      </w:pPr>
      <w:r>
        <w:rPr>
          <w:b/>
          <w:sz w:val="22"/>
          <w:lang w:val="en-US" w:eastAsia="en-US"/>
        </w:rPr>
        <w:t>Miscellaneous:</w:t>
      </w:r>
    </w:p>
    <w:p>
      <w:pPr>
        <w:pStyle w:val="Normal"/>
        <w:keepNext w:val="true"/>
        <w:keepLines/>
        <w:rPr>
          <w:sz w:val="22"/>
          <w:lang w:val="en-US" w:eastAsia="en-US"/>
        </w:rPr>
      </w:pPr>
      <w:r>
        <w:rPr>
          <w:sz w:val="22"/>
          <w:lang w:val="en-US" w:eastAsia="en-US"/>
        </w:rPr>
      </w:r>
    </w:p>
    <w:p>
      <w:pPr>
        <w:pStyle w:val="Heading2"/>
        <w:keepLines/>
        <w:ind w:hanging="0" w:start="0"/>
        <w:rPr>
          <w:sz w:val="22"/>
        </w:rPr>
      </w:pPr>
      <w:r>
        <w:rPr>
          <w:b/>
          <w:sz w:val="22"/>
        </w:rPr>
        <w:t>governing law/courts</w:t>
      </w:r>
      <w:r>
        <w:rPr>
          <w:sz w:val="22"/>
        </w:rPr>
        <w:t>:  This Guarantee Agreement shall be governed by and construed in accordance with the laws applicable in the State of New York.  The Guarantor, Beneficiary and Guarantor’s Subsidiary shall attorn and submit to the exclusive jurisdiction of the courts of the State of New York for all matters arising pursuant or related to this Guarantee Agreement.</w:t>
      </w:r>
    </w:p>
    <w:p>
      <w:pPr>
        <w:pStyle w:val="Normal"/>
        <w:rPr>
          <w:sz w:val="22"/>
        </w:rPr>
      </w:pPr>
      <w:r>
        <w:rPr>
          <w:sz w:val="22"/>
        </w:rPr>
      </w:r>
    </w:p>
    <w:p>
      <w:pPr>
        <w:pStyle w:val="Heading2"/>
        <w:ind w:hanging="0" w:start="0"/>
        <w:rPr>
          <w:sz w:val="22"/>
        </w:rPr>
      </w:pPr>
      <w:r>
        <w:rPr>
          <w:b/>
          <w:sz w:val="22"/>
        </w:rPr>
        <w:t>successors and assigns</w:t>
      </w:r>
      <w:r>
        <w:rPr>
          <w:sz w:val="22"/>
        </w:rPr>
        <w:t>:  Beneficiary may assign its rights hereunder (when assigning its rights and obligations related to an applicable Transaction in accordance with the provisions of the applicable Transaction Agreement) without the prior consent of the Guarantor.  The Guarantor shall not assign any of its rights or obligations hereunder without the written consent of the Beneficiary.  This Guarantee Agreement shall be binding upon the Guarantor’s successors and permitted assigns and shall enure to the benefit of the Beneficiary and its successors and permitted assigns.</w:t>
      </w:r>
    </w:p>
    <w:p>
      <w:pPr>
        <w:pStyle w:val="Normal"/>
        <w:rPr>
          <w:sz w:val="22"/>
        </w:rPr>
      </w:pPr>
      <w:r>
        <w:rPr>
          <w:sz w:val="22"/>
        </w:rPr>
      </w:r>
    </w:p>
    <w:p>
      <w:pPr>
        <w:pStyle w:val="Heading2"/>
        <w:ind w:hanging="0" w:start="0"/>
        <w:rPr>
          <w:sz w:val="22"/>
        </w:rPr>
      </w:pPr>
      <w:r>
        <w:rPr>
          <w:b/>
          <w:sz w:val="22"/>
        </w:rPr>
        <w:t>representations/warranties</w:t>
      </w:r>
      <w:r>
        <w:rPr>
          <w:sz w:val="22"/>
        </w:rPr>
        <w:t>:  The Guarantor, through the undersigned officer, represents and warrants to the Beneficiary that (i) the Guarantor’s Subsidiary is a subsidiary of the Guarantor (ii) the Guarantor is authorized to grant this Guarantee Agreement and has all necessary rights, powers and authorizations to do so and (iii) this Guarantee is a valid and binding obligation of the Guarantor enforceable against it in accordance with its terms.</w:t>
      </w:r>
    </w:p>
    <w:p>
      <w:pPr>
        <w:pStyle w:val="Normal"/>
        <w:rPr>
          <w:sz w:val="22"/>
        </w:rPr>
      </w:pPr>
      <w:r>
        <w:rPr>
          <w:sz w:val="22"/>
        </w:rPr>
      </w:r>
    </w:p>
    <w:p>
      <w:pPr>
        <w:pStyle w:val="Heading2"/>
        <w:ind w:hanging="0" w:start="0"/>
        <w:rPr>
          <w:sz w:val="22"/>
        </w:rPr>
      </w:pPr>
      <w:r>
        <w:rPr>
          <w:b/>
          <w:sz w:val="22"/>
        </w:rPr>
        <w:t>execution</w:t>
      </w:r>
      <w:r>
        <w:rPr>
          <w:sz w:val="22"/>
        </w:rPr>
        <w:t>:  This Guarantee Agreement (i) may be executed and delivered by facsimile device and (ii) need not be under corporate seal.  Any such execution and delivery shall be sufficient for all purposes of evidencing due, valid and authorized execution of this Guarantee Agreement by the Guarantor.</w:t>
      </w:r>
    </w:p>
    <w:p>
      <w:pPr>
        <w:pStyle w:val="Normal"/>
        <w:rPr>
          <w:sz w:val="22"/>
        </w:rPr>
      </w:pPr>
      <w:r>
        <w:rPr>
          <w:sz w:val="22"/>
        </w:rPr>
      </w:r>
    </w:p>
    <w:p>
      <w:pPr>
        <w:pStyle w:val="Heading2"/>
        <w:ind w:hanging="0" w:start="0"/>
        <w:rPr>
          <w:sz w:val="22"/>
        </w:rPr>
      </w:pPr>
      <w:r>
        <w:rPr>
          <w:b/>
          <w:sz w:val="22"/>
        </w:rPr>
        <w:t>guarantee of payment</w:t>
      </w:r>
      <w:r>
        <w:rPr>
          <w:sz w:val="22"/>
        </w:rPr>
        <w:t>:  This Guarantee Agreement constitutes a guarantee of payment and not of collection.</w:t>
      </w:r>
    </w:p>
    <w:p>
      <w:pPr>
        <w:pStyle w:val="Normal"/>
        <w:rPr>
          <w:sz w:val="22"/>
        </w:rPr>
      </w:pPr>
      <w:r>
        <w:rPr>
          <w:sz w:val="22"/>
        </w:rPr>
      </w:r>
    </w:p>
    <w:p>
      <w:pPr>
        <w:pStyle w:val="Normal"/>
        <w:ind w:hanging="720" w:start="720" w:end="0"/>
        <w:rPr/>
      </w:pPr>
      <w:r>
        <w:rPr>
          <w:sz w:val="22"/>
        </w:rPr>
        <w:t>8.</w:t>
        <w:tab/>
      </w:r>
      <w:r>
        <w:rPr>
          <w:b/>
          <w:sz w:val="22"/>
        </w:rPr>
        <w:t>Notices:</w:t>
      </w:r>
      <w:r>
        <w:rPr>
          <w:sz w:val="22"/>
        </w:rPr>
        <w:t xml:space="preserve">  All notices, requests, demands and other communications required or permitted to be made or given under this Guarantee Agreement shall be in writing and shall be delivered, mailed (postage prepaid), or sent by facsimile transmission to the address and to the individual(s) indicated below:</w:t>
      </w:r>
    </w:p>
    <w:p>
      <w:pPr>
        <w:pStyle w:val="Normal"/>
        <w:rPr>
          <w:sz w:val="22"/>
        </w:rPr>
      </w:pPr>
      <w:r>
        <w:rPr>
          <w:sz w:val="22"/>
        </w:rPr>
      </w:r>
    </w:p>
    <w:p>
      <w:pPr>
        <w:pStyle w:val="Normal"/>
        <w:ind w:firstLine="720" w:end="0"/>
        <w:rPr>
          <w:sz w:val="22"/>
        </w:rPr>
      </w:pPr>
      <w:r>
        <w:rPr>
          <w:sz w:val="22"/>
        </w:rPr>
        <w:t>If to Beneficiary, to:</w:t>
        <w:tab/>
        <w:t>Enron North America Corp.</w:t>
      </w:r>
    </w:p>
    <w:p>
      <w:pPr>
        <w:pStyle w:val="Normal"/>
        <w:ind w:start="2880" w:end="0"/>
        <w:rPr>
          <w:sz w:val="22"/>
        </w:rPr>
      </w:pPr>
      <w:r>
        <w:rPr>
          <w:sz w:val="22"/>
        </w:rPr>
        <w:t>1400 Smith Street</w:t>
      </w:r>
    </w:p>
    <w:p>
      <w:pPr>
        <w:pStyle w:val="Normal"/>
        <w:ind w:start="2880" w:end="0"/>
        <w:rPr>
          <w:sz w:val="22"/>
        </w:rPr>
      </w:pPr>
      <w:r>
        <w:rPr>
          <w:sz w:val="22"/>
        </w:rPr>
        <w:t>Houston, Texas 77002</w:t>
      </w:r>
    </w:p>
    <w:p>
      <w:pPr>
        <w:pStyle w:val="Normal"/>
        <w:ind w:start="2880" w:end="0"/>
        <w:rPr>
          <w:sz w:val="22"/>
        </w:rPr>
      </w:pPr>
      <w:r>
        <w:rPr>
          <w:sz w:val="22"/>
        </w:rPr>
        <w:t>Attn:  Credit Department</w:t>
      </w:r>
    </w:p>
    <w:p>
      <w:pPr>
        <w:pStyle w:val="Normal"/>
        <w:ind w:start="2880" w:end="0"/>
        <w:rPr>
          <w:sz w:val="22"/>
        </w:rPr>
      </w:pPr>
      <w:r>
        <w:rPr>
          <w:sz w:val="22"/>
        </w:rPr>
        <w:t>Fax:  (713) 853-9476</w:t>
      </w:r>
    </w:p>
    <w:p>
      <w:pPr>
        <w:pStyle w:val="Normal"/>
        <w:rPr>
          <w:sz w:val="22"/>
        </w:rPr>
      </w:pPr>
      <w:r>
        <w:rPr>
          <w:sz w:val="22"/>
        </w:rPr>
      </w:r>
    </w:p>
    <w:p>
      <w:pPr>
        <w:pStyle w:val="Normal"/>
        <w:rPr>
          <w:sz w:val="22"/>
        </w:rPr>
      </w:pPr>
      <w:r>
        <w:rPr>
          <w:sz w:val="22"/>
        </w:rPr>
      </w:r>
    </w:p>
    <w:p>
      <w:pPr>
        <w:pStyle w:val="Normal"/>
        <w:ind w:firstLine="720" w:end="0"/>
        <w:rPr>
          <w:sz w:val="22"/>
        </w:rPr>
      </w:pPr>
      <w:r>
        <w:rPr>
          <w:sz w:val="22"/>
        </w:rPr>
        <w:t>If to Guarantor, to:</w:t>
        <w:tab/>
        <w:t>TransAlta Corporation</w:t>
      </w:r>
    </w:p>
    <w:p>
      <w:pPr>
        <w:pStyle w:val="Normal"/>
        <w:ind w:firstLine="720" w:start="2160" w:end="0"/>
        <w:rPr>
          <w:sz w:val="22"/>
        </w:rPr>
      </w:pPr>
      <w:r>
        <w:rPr>
          <w:sz w:val="22"/>
        </w:rPr>
        <w:t>c/o TransAlta Energy Marketing (U.S.) Inc.</w:t>
      </w:r>
    </w:p>
    <w:p>
      <w:pPr>
        <w:pStyle w:val="Normal"/>
        <w:ind w:start="2880" w:end="0"/>
        <w:rPr>
          <w:sz w:val="22"/>
        </w:rPr>
      </w:pPr>
      <w:r>
        <w:rPr>
          <w:sz w:val="22"/>
        </w:rPr>
        <w:t>110 – 12 Avenue S.W.</w:t>
      </w:r>
    </w:p>
    <w:p>
      <w:pPr>
        <w:pStyle w:val="Normal"/>
        <w:ind w:start="2880" w:end="0"/>
        <w:rPr>
          <w:sz w:val="22"/>
        </w:rPr>
      </w:pPr>
      <w:r>
        <w:rPr>
          <w:sz w:val="22"/>
        </w:rPr>
        <w:t>Calgary, Alberta T2P 2M1</w:t>
      </w:r>
    </w:p>
    <w:p>
      <w:pPr>
        <w:pStyle w:val="Normal"/>
        <w:ind w:start="2880" w:end="0"/>
        <w:rPr>
          <w:sz w:val="22"/>
        </w:rPr>
      </w:pPr>
      <w:r>
        <w:rPr>
          <w:sz w:val="22"/>
        </w:rPr>
        <w:t>Attn:  Credit Department</w:t>
      </w:r>
    </w:p>
    <w:p>
      <w:pPr>
        <w:pStyle w:val="Normal"/>
        <w:ind w:start="2880" w:end="0"/>
        <w:rPr>
          <w:sz w:val="22"/>
        </w:rPr>
      </w:pPr>
      <w:r>
        <w:rPr>
          <w:sz w:val="22"/>
        </w:rPr>
        <w:t>Fax:  (403) 267-6975</w:t>
      </w:r>
      <w:r>
        <w:br w:type="page"/>
      </w:r>
    </w:p>
    <w:p>
      <w:pPr>
        <w:pStyle w:val="Normal"/>
        <w:ind w:hanging="720" w:start="720" w:end="0"/>
        <w:rPr>
          <w:sz w:val="22"/>
        </w:rPr>
      </w:pPr>
      <w:r>
        <w:rPr>
          <w:sz w:val="22"/>
        </w:rPr>
      </w:r>
    </w:p>
    <w:p>
      <w:pPr>
        <w:pStyle w:val="Normal"/>
        <w:ind w:start="720" w:end="0"/>
        <w:rPr/>
      </w:pPr>
      <w:r>
        <w:rPr>
          <w:sz w:val="22"/>
        </w:rPr>
        <w:t>Any notices shall be deemed to have been given (i) on the date of personal delivery,   (ii) on the next business day after being faxed, or (iii) on the 5</w:t>
      </w:r>
      <w:r>
        <w:rPr>
          <w:sz w:val="22"/>
          <w:vertAlign w:val="superscript"/>
        </w:rPr>
        <w:t>th</w:t>
      </w:r>
      <w:r>
        <w:rPr>
          <w:sz w:val="22"/>
        </w:rPr>
        <w:t xml:space="preserve"> business day after being mailed by registered or certified mail, provided that if there is any disruption in postal service, notice shall be deemed to have been given on the day of actual delivery.</w:t>
      </w:r>
    </w:p>
    <w:p>
      <w:pPr>
        <w:pStyle w:val="Normal"/>
        <w:rPr>
          <w:sz w:val="22"/>
        </w:rPr>
      </w:pPr>
      <w:r>
        <w:rPr>
          <w:sz w:val="22"/>
        </w:rPr>
      </w:r>
    </w:p>
    <w:p>
      <w:pPr>
        <w:pStyle w:val="Normal"/>
        <w:rPr>
          <w:sz w:val="22"/>
        </w:rPr>
      </w:pPr>
      <w:r>
        <w:rPr>
          <w:sz w:val="22"/>
        </w:rPr>
      </w:r>
    </w:p>
    <w:p>
      <w:pPr>
        <w:pStyle w:val="Normal"/>
        <w:rPr/>
      </w:pPr>
      <w:r>
        <w:rPr>
          <w:b/>
          <w:sz w:val="22"/>
        </w:rPr>
        <w:t>IN WITNESS WHEREOF</w:t>
      </w:r>
      <w:r>
        <w:rPr>
          <w:sz w:val="22"/>
        </w:rPr>
        <w:t>, the Guarantor has executed this Guarantee Agreement by its duly appointed signing officer with all requisite authorization as of the date noted on the top of the first page.</w:t>
      </w:r>
    </w:p>
    <w:p>
      <w:pPr>
        <w:pStyle w:val="Normal"/>
        <w:rPr>
          <w:sz w:val="22"/>
        </w:rPr>
      </w:pPr>
      <w:r>
        <w:rPr>
          <w:sz w:val="22"/>
        </w:rPr>
      </w:r>
    </w:p>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keepLines/>
              <w:widowControl w:val="false"/>
              <w:snapToGrid w:val="false"/>
              <w:rPr>
                <w:sz w:val="22"/>
              </w:rPr>
            </w:pPr>
            <w:r>
              <w:rPr>
                <w:sz w:val="22"/>
              </w:rPr>
            </w:r>
          </w:p>
        </w:tc>
        <w:tc>
          <w:tcPr>
            <w:tcW w:w="4788" w:type="dxa"/>
            <w:tcBorders/>
          </w:tcPr>
          <w:p>
            <w:pPr>
              <w:pStyle w:val="Normal"/>
              <w:keepNext w:val="true"/>
              <w:keepLines/>
              <w:widowControl w:val="false"/>
              <w:rPr>
                <w:b/>
                <w:sz w:val="22"/>
              </w:rPr>
            </w:pPr>
            <w:r>
              <w:rPr>
                <w:b/>
                <w:sz w:val="22"/>
              </w:rPr>
              <w:t>TRANSALTA CORPORATION</w:t>
            </w:r>
          </w:p>
          <w:p>
            <w:pPr>
              <w:pStyle w:val="Normal"/>
              <w:keepNext w:val="true"/>
              <w:keepLines/>
              <w:widowControl w:val="false"/>
              <w:rPr>
                <w:b/>
                <w:sz w:val="22"/>
              </w:rPr>
            </w:pPr>
            <w:r>
              <w:rPr>
                <w:b/>
                <w:sz w:val="22"/>
              </w:rPr>
            </w:r>
          </w:p>
          <w:p>
            <w:pPr>
              <w:pStyle w:val="Normal"/>
              <w:keepNext w:val="true"/>
              <w:keepLines/>
              <w:widowControl w:val="false"/>
              <w:rPr>
                <w:b/>
                <w:sz w:val="22"/>
              </w:rPr>
            </w:pPr>
            <w:r>
              <w:rPr>
                <w:b/>
                <w:sz w:val="22"/>
              </w:rPr>
            </w:r>
          </w:p>
          <w:p>
            <w:pPr>
              <w:pStyle w:val="Normal"/>
              <w:rPr>
                <w:sz w:val="22"/>
              </w:rPr>
            </w:pPr>
            <w:r>
              <w:rPr>
                <w:sz w:val="22"/>
              </w:rPr>
              <w:t>Per:_____________________________</w:t>
            </w:r>
          </w:p>
          <w:p>
            <w:pPr>
              <w:pStyle w:val="Normal"/>
              <w:rPr>
                <w:sz w:val="22"/>
              </w:rPr>
            </w:pPr>
            <w:r>
              <w:rPr>
                <w:sz w:val="22"/>
              </w:rPr>
              <w:tab/>
              <w:t>Vice President and Treasurer</w:t>
            </w:r>
          </w:p>
          <w:p>
            <w:pPr>
              <w:pStyle w:val="Normal"/>
              <w:rPr>
                <w:sz w:val="22"/>
              </w:rPr>
            </w:pPr>
            <w:r>
              <w:rPr>
                <w:sz w:val="22"/>
              </w:rPr>
            </w:r>
          </w:p>
          <w:p>
            <w:pPr>
              <w:pStyle w:val="Normal"/>
              <w:rPr>
                <w:sz w:val="22"/>
              </w:rPr>
            </w:pPr>
            <w:r>
              <w:rPr>
                <w:sz w:val="22"/>
              </w:rPr>
            </w:r>
          </w:p>
          <w:p>
            <w:pPr>
              <w:pStyle w:val="Normal"/>
              <w:rPr>
                <w:sz w:val="22"/>
              </w:rPr>
            </w:pPr>
            <w:r>
              <w:rPr>
                <w:sz w:val="22"/>
              </w:rPr>
              <w:t>Per:_____________________________</w:t>
            </w:r>
          </w:p>
          <w:p>
            <w:pPr>
              <w:pStyle w:val="Normal"/>
              <w:keepNext w:val="true"/>
              <w:keepLines/>
              <w:widowControl w:val="false"/>
              <w:rPr>
                <w:sz w:val="22"/>
              </w:rPr>
            </w:pPr>
            <w:r>
              <w:rPr>
                <w:sz w:val="22"/>
              </w:rPr>
              <w:tab/>
              <w:t xml:space="preserve">Director, Financial Operations </w:t>
            </w:r>
          </w:p>
          <w:p>
            <w:pPr>
              <w:pStyle w:val="Normal"/>
              <w:keepNext w:val="true"/>
              <w:keepLines/>
              <w:widowControl w:val="false"/>
              <w:rPr>
                <w:sz w:val="22"/>
              </w:rPr>
            </w:pPr>
            <w:r>
              <w:rPr>
                <w:sz w:val="22"/>
              </w:rPr>
            </w:r>
          </w:p>
        </w:tc>
      </w:tr>
    </w:tbl>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/mnt/main-storage/datasets/enron-docs/doc/TAC_to_Enron_NA_re_TEMUS_ISDA_1001.doc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/mnt/main-storage/datasets/enron-docs/doc/TAC_to_Enron_NA_re_TEMUS_ISDA_1001.doc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 xml:space="preserve"> -</w:t>
    </w:r>
  </w:p>
  <w:p>
    <w:pPr>
      <w:pStyle w:val="Header"/>
      <w:jc w:val="cent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720" w:hanging="720"/>
      </w:pPr>
    </w:lvl>
    <w:lvl w:ilvl="1">
      <w:start w:val="1"/>
      <w:pStyle w:val="Heading2"/>
      <w:numFmt w:val="lowerLetter"/>
      <w:lvlText w:val="(%2)"/>
      <w:lvlJc w:val="start"/>
      <w:pPr>
        <w:tabs>
          <w:tab w:val="num" w:pos="720"/>
        </w:tabs>
        <w:ind w:start="1440" w:hanging="720"/>
      </w:pPr>
    </w:lvl>
    <w:lvl w:ilvl="2">
      <w:start w:val="1"/>
      <w:pStyle w:val="Heading3"/>
      <w:numFmt w:val="lowerRoman"/>
      <w:lvlText w:val="(%3)"/>
      <w:lvlJc w:val="start"/>
      <w:pPr>
        <w:tabs>
          <w:tab w:val="num" w:pos="720"/>
        </w:tabs>
        <w:ind w:start="2160" w:hanging="720"/>
      </w:pPr>
    </w:lvl>
    <w:lvl w:ilvl="3">
      <w:start w:val="1"/>
      <w:pStyle w:val="Heading4"/>
      <w:numFmt w:val="lowerLetter"/>
      <w:lvlText w:val="%4)"/>
      <w:lvlJc w:val="start"/>
      <w:pPr>
        <w:tabs>
          <w:tab w:val="num" w:pos="720"/>
        </w:tabs>
        <w:ind w:start="2880" w:hanging="720"/>
      </w:pPr>
    </w:lvl>
    <w:lvl w:ilvl="4">
      <w:start w:val="1"/>
      <w:pStyle w:val="Heading5"/>
      <w:numFmt w:val="decimal"/>
      <w:lvlText w:val="(%5)"/>
      <w:lvlJc w:val="start"/>
      <w:pPr>
        <w:tabs>
          <w:tab w:val="num" w:pos="720"/>
        </w:tabs>
        <w:ind w:start="3600" w:hanging="720"/>
      </w:p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lowerLetter"/>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jc w:val="both"/>
      <w:textAlignment w:val="baseline"/>
    </w:pPr>
    <w:rPr>
      <w:rFonts w:ascii="Arial" w:hAnsi="Arial" w:eastAsia="Times New Roman" w:cs="Arial"/>
      <w:color w:val="auto"/>
      <w:sz w:val="24"/>
      <w:szCs w:val="20"/>
      <w:lang w:val="en-US" w:bidi="ar-SA" w:eastAsia="zh-CN"/>
    </w:rPr>
  </w:style>
  <w:style w:type="paragraph" w:styleId="Heading1">
    <w:name w:val="heading 1"/>
    <w:basedOn w:val="Normal"/>
    <w:next w:val="Normal"/>
    <w:qFormat/>
    <w:pPr>
      <w:numPr>
        <w:ilvl w:val="0"/>
        <w:numId w:val="1"/>
      </w:numPr>
      <w:tabs>
        <w:tab w:val="clear" w:pos="720"/>
        <w:tab w:val="left" w:pos="-1440" w:leader="none"/>
        <w:tab w:val="left" w:pos="-720" w:leader="none"/>
      </w:tabs>
      <w:suppressAutoHyphens w:val="true"/>
      <w:outlineLvl w:val="0"/>
    </w:pPr>
    <w:rPr>
      <w:spacing w:val="-3"/>
      <w:kern w:val="2"/>
      <w:lang w:val="en-CA" w:eastAsia="en-CA"/>
    </w:rPr>
  </w:style>
  <w:style w:type="paragraph" w:styleId="Heading2">
    <w:name w:val="heading 2"/>
    <w:basedOn w:val="Normal"/>
    <w:next w:val="Normal"/>
    <w:qFormat/>
    <w:pPr>
      <w:keepNext w:val="true"/>
      <w:numPr>
        <w:ilvl w:val="1"/>
        <w:numId w:val="1"/>
      </w:numPr>
      <w:outlineLvl w:val="1"/>
    </w:pPr>
    <w:rPr/>
  </w:style>
  <w:style w:type="paragraph" w:styleId="Heading3">
    <w:name w:val="heading 3"/>
    <w:basedOn w:val="Normal"/>
    <w:next w:val="Normal"/>
    <w:qFormat/>
    <w:pPr>
      <w:keepNext w:val="true"/>
      <w:numPr>
        <w:ilvl w:val="2"/>
        <w:numId w:val="1"/>
      </w:numPr>
      <w:tabs>
        <w:tab w:val="clear" w:pos="720"/>
        <w:tab w:val="left" w:pos="-1440" w:leader="none"/>
        <w:tab w:val="left" w:pos="-720" w:leader="none"/>
      </w:tabs>
      <w:suppressAutoHyphens w:val="true"/>
      <w:outlineLvl w:val="2"/>
    </w:pPr>
    <w:rPr>
      <w:spacing w:val="-3"/>
      <w:lang w:val="en-CA" w:eastAsia="en-CA"/>
    </w:rPr>
  </w:style>
  <w:style w:type="paragraph" w:styleId="Heading4">
    <w:name w:val="heading 4"/>
    <w:basedOn w:val="Normal"/>
    <w:next w:val="Normal"/>
    <w:qFormat/>
    <w:pPr>
      <w:keepNext w:val="true"/>
      <w:numPr>
        <w:ilvl w:val="3"/>
        <w:numId w:val="1"/>
      </w:numPr>
      <w:tabs>
        <w:tab w:val="clear" w:pos="720"/>
        <w:tab w:val="left" w:pos="-1440" w:leader="none"/>
        <w:tab w:val="left" w:pos="-720" w:leader="none"/>
      </w:tabs>
      <w:suppressAutoHyphens w:val="true"/>
      <w:spacing w:lineRule="auto" w:line="360" w:before="240" w:after="60"/>
      <w:outlineLvl w:val="3"/>
    </w:pPr>
    <w:rPr>
      <w:rFonts w:ascii="Times New Roman" w:hAnsi="Times New Roman" w:cs="Times New Roman"/>
      <w:b/>
      <w:i/>
      <w:spacing w:val="-3"/>
      <w:lang w:val="en-CA" w:eastAsia="en-CA"/>
    </w:rPr>
  </w:style>
  <w:style w:type="paragraph" w:styleId="Heading5">
    <w:name w:val="heading 5"/>
    <w:basedOn w:val="Normal"/>
    <w:next w:val="Normal"/>
    <w:qFormat/>
    <w:pPr>
      <w:numPr>
        <w:ilvl w:val="4"/>
        <w:numId w:val="1"/>
      </w:numPr>
      <w:tabs>
        <w:tab w:val="clear" w:pos="720"/>
        <w:tab w:val="left" w:pos="-1440" w:leader="none"/>
        <w:tab w:val="left" w:pos="-720" w:leader="none"/>
      </w:tabs>
      <w:suppressAutoHyphens w:val="true"/>
      <w:spacing w:lineRule="auto" w:line="360" w:before="240" w:after="60"/>
      <w:outlineLvl w:val="4"/>
    </w:pPr>
    <w:rPr>
      <w:spacing w:val="-3"/>
      <w:sz w:val="22"/>
      <w:lang w:val="en-CA" w:eastAsia="en-CA"/>
    </w:rPr>
  </w:style>
  <w:style w:type="paragraph" w:styleId="Heading6">
    <w:name w:val="heading 6"/>
    <w:basedOn w:val="Normal"/>
    <w:next w:val="Normal"/>
    <w:qFormat/>
    <w:pPr>
      <w:numPr>
        <w:ilvl w:val="5"/>
        <w:numId w:val="1"/>
      </w:numPr>
      <w:tabs>
        <w:tab w:val="clear" w:pos="720"/>
        <w:tab w:val="left" w:pos="-1440" w:leader="none"/>
        <w:tab w:val="left" w:pos="-720" w:leader="none"/>
      </w:tabs>
      <w:suppressAutoHyphens w:val="true"/>
      <w:spacing w:lineRule="auto" w:line="360" w:before="240" w:after="60"/>
      <w:outlineLvl w:val="5"/>
    </w:pPr>
    <w:rPr>
      <w:i/>
      <w:spacing w:val="-3"/>
      <w:sz w:val="22"/>
      <w:lang w:val="en-CA" w:eastAsia="en-CA"/>
    </w:rPr>
  </w:style>
  <w:style w:type="paragraph" w:styleId="Heading7">
    <w:name w:val="heading 7"/>
    <w:basedOn w:val="Normal"/>
    <w:next w:val="Normal"/>
    <w:qFormat/>
    <w:pPr>
      <w:numPr>
        <w:ilvl w:val="6"/>
        <w:numId w:val="1"/>
      </w:numPr>
      <w:tabs>
        <w:tab w:val="clear" w:pos="720"/>
        <w:tab w:val="left" w:pos="-1440" w:leader="none"/>
        <w:tab w:val="left" w:pos="-720" w:leader="none"/>
      </w:tabs>
      <w:suppressAutoHyphens w:val="true"/>
      <w:spacing w:lineRule="auto" w:line="360" w:before="240" w:after="60"/>
      <w:outlineLvl w:val="6"/>
    </w:pPr>
    <w:rPr>
      <w:spacing w:val="-3"/>
      <w:sz w:val="20"/>
      <w:lang w:val="en-CA" w:eastAsia="en-CA"/>
    </w:rPr>
  </w:style>
  <w:style w:type="paragraph" w:styleId="Heading8">
    <w:name w:val="heading 8"/>
    <w:basedOn w:val="Normal"/>
    <w:next w:val="Normal"/>
    <w:qFormat/>
    <w:pPr>
      <w:numPr>
        <w:ilvl w:val="7"/>
        <w:numId w:val="1"/>
      </w:numPr>
      <w:tabs>
        <w:tab w:val="clear" w:pos="720"/>
        <w:tab w:val="left" w:pos="-1440" w:leader="none"/>
        <w:tab w:val="left" w:pos="-720" w:leader="none"/>
      </w:tabs>
      <w:suppressAutoHyphens w:val="true"/>
      <w:spacing w:lineRule="auto" w:line="360" w:before="240" w:after="60"/>
      <w:outlineLvl w:val="7"/>
    </w:pPr>
    <w:rPr>
      <w:i/>
      <w:spacing w:val="-3"/>
      <w:sz w:val="20"/>
      <w:lang w:val="en-CA" w:eastAsia="en-CA"/>
    </w:rPr>
  </w:style>
  <w:style w:type="paragraph" w:styleId="Heading9">
    <w:name w:val="heading 9"/>
    <w:basedOn w:val="Normal"/>
    <w:next w:val="Normal"/>
    <w:qFormat/>
    <w:pPr>
      <w:numPr>
        <w:ilvl w:val="8"/>
        <w:numId w:val="1"/>
      </w:numPr>
      <w:tabs>
        <w:tab w:val="clear" w:pos="720"/>
        <w:tab w:val="left" w:pos="-1440" w:leader="none"/>
        <w:tab w:val="left" w:pos="-720" w:leader="none"/>
      </w:tabs>
      <w:suppressAutoHyphens w:val="true"/>
      <w:spacing w:lineRule="auto" w:line="360" w:before="240" w:after="60"/>
      <w:outlineLvl w:val="8"/>
    </w:pPr>
    <w:rPr>
      <w:i/>
      <w:spacing w:val="-3"/>
      <w:sz w:val="18"/>
      <w:lang w:val="en-CA" w:eastAsia="en-CA"/>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2">
    <w:name w:val="Header 2"/>
    <w:basedOn w:val="Normal"/>
    <w:qFormat/>
    <w:pPr>
      <w:numPr>
        <w:ilvl w:val="0"/>
        <w:numId w:val="2"/>
      </w:numP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2001-10-05T19:14:00Z</dcterms:created>
  <dc:creator>David Reschke</dc:creator>
  <dc:description/>
  <dc:language>en-CA</dc:language>
  <cp:lastModifiedBy>mpiercey</cp:lastModifiedBy>
  <cp:lastPrinted>2000-07-06T13:54:00Z</cp:lastPrinted>
  <dcterms:modified xsi:type="dcterms:W3CDTF">2001-10-05T20:02:00Z</dcterms:modified>
  <cp:revision>9</cp:revision>
  <dc:subject/>
  <dc:title>PARENT GUARANTY AGREEMENT</dc:title>
</cp:coreProperties>
</file>