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November 7, 2000</w:t>
      </w:r>
    </w:p>
    <w:p>
      <w:pPr>
        <w:pStyle w:val="Normal"/>
        <w:rPr>
          <w:b/>
          <w:sz w:val="28"/>
        </w:rPr>
      </w:pPr>
      <w:r>
        <w:rPr>
          <w:b/>
          <w:sz w:val="28"/>
        </w:rPr>
      </w:r>
    </w:p>
    <w:p>
      <w:pPr>
        <w:pStyle w:val="Normal"/>
        <w:jc w:val="center"/>
        <w:rPr>
          <w:b/>
          <w:sz w:val="28"/>
        </w:rPr>
      </w:pPr>
      <w:r>
        <w:rPr>
          <w:b/>
          <w:sz w:val="28"/>
        </w:rPr>
        <w:t>Resolution of the Board of Directors</w:t>
        <w:br/>
        <w:t>In Support of Texas Tier I Research Excellence Funding</w:t>
      </w:r>
    </w:p>
    <w:p>
      <w:pPr>
        <w:pStyle w:val="Normal"/>
        <w:pBdr>
          <w:bottom w:val="single" w:sz="6" w:space="1" w:color="000000"/>
        </w:pBdr>
        <w:jc w:val="center"/>
        <w:rPr>
          <w:b/>
          <w:sz w:val="28"/>
        </w:rPr>
      </w:pPr>
      <w:r>
        <w:rPr>
          <w:b/>
          <w:sz w:val="28"/>
        </w:rPr>
      </w:r>
    </w:p>
    <w:p>
      <w:pPr>
        <w:pStyle w:val="Normal"/>
        <w:rPr/>
      </w:pPr>
      <w:r>
        <w:rPr/>
      </w:r>
    </w:p>
    <w:p>
      <w:pPr>
        <w:pStyle w:val="BodyText"/>
        <w:rPr/>
      </w:pPr>
      <w:r>
        <w:rPr/>
        <w:t>The Greater Houston Partnership supports the establishment of a Texas Tier I Research Excellence Fund to help support the University of Houston in meeting the demands for a well-educated and highly skilled workforce, to create new knowledge, and to develop new technologies that will keep the University and the Greater Houston area competitive in the 21</w:t>
      </w:r>
      <w:r>
        <w:rPr>
          <w:vertAlign w:val="superscript"/>
        </w:rPr>
        <w:t>st</w:t>
      </w:r>
      <w:r>
        <w:rPr/>
        <w:t xml:space="preserve"> century.  Texas Tier I Research Excellence Funding will also have a profound effect on students in Houston and all of Texas by opening the doors of opportunity and providing access to the highest quality educational programs.  It will attract nationally ranked faculty and staff, create new centers of research and spin-off companies, and increase the capacity of the University of Houston to serve our community.</w:t>
      </w:r>
    </w:p>
    <w:p>
      <w:pPr>
        <w:pStyle w:val="BodyText"/>
        <w:rPr/>
      </w:pPr>
      <w:r>
        <w:rPr/>
        <w:t> </w:t>
      </w:r>
    </w:p>
    <w:p>
      <w:pPr>
        <w:pStyle w:val="BodyText"/>
        <w:rPr/>
      </w:pPr>
      <w:r>
        <w:rPr/>
        <w:t>Texas is the nation’s second largest state, but ranks sixth in the receipt of vital federal research funding. Texas has three of the ten largest cities in the nation in Houston, San Antonio, and Dallas, which also are the only cities among the ten without flagship universities.  Texas cannot be a leader while trailing in the number of flagship research universities that attract and leverage essential research and development funding.</w:t>
      </w:r>
    </w:p>
    <w:p>
      <w:pPr>
        <w:pStyle w:val="BodyText"/>
        <w:rPr/>
      </w:pPr>
      <w:r>
        <w:rPr/>
        <w:t> </w:t>
      </w:r>
    </w:p>
    <w:p>
      <w:pPr>
        <w:pStyle w:val="BodyText"/>
        <w:rPr/>
      </w:pPr>
      <w:r>
        <w:rPr/>
        <w:t xml:space="preserve">The Texas Tier I Research Excellence Fund is a sound investment for the Greater Houston area, which represents 22 percent of the state’s population and work force, and 28 percent of the gross state product.  The return on this important state investment will be enhancement of quality education for the coming generations of Texans, increased retention and graduation rates, and a steadily increasing flow of federal research funds to keep Houston competitive globally in the fields of education and industry. </w:t>
      </w:r>
    </w:p>
    <w:p>
      <w:pPr>
        <w:pStyle w:val="Normal"/>
        <w:autoSpaceDE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bottom w:val="single" w:sz="6" w:space="0" w:color="000000"/>
            </w:tcBorders>
          </w:tcPr>
          <w:p>
            <w:pPr>
              <w:pStyle w:val="Normal"/>
              <w:snapToGrid w:val="false"/>
              <w:rPr>
                <w:sz w:val="24"/>
              </w:rPr>
            </w:pPr>
            <w:r>
              <w:rPr>
                <w:sz w:val="24"/>
              </w:rPr>
            </w:r>
          </w:p>
        </w:tc>
      </w:tr>
      <w:tr>
        <w:trPr/>
        <w:tc>
          <w:tcPr>
            <w:tcW w:w="4334" w:type="dxa"/>
            <w:tcBorders/>
          </w:tcPr>
          <w:p>
            <w:pPr>
              <w:pStyle w:val="Normal"/>
              <w:rPr>
                <w:sz w:val="24"/>
              </w:rPr>
            </w:pPr>
            <w:r>
              <w:rPr>
                <w:sz w:val="24"/>
              </w:rPr>
              <w:t>James R. Royer, Chairman</w:t>
            </w:r>
          </w:p>
        </w:tc>
        <w:tc>
          <w:tcPr>
            <w:tcW w:w="648" w:type="dxa"/>
            <w:tcBorders/>
          </w:tcPr>
          <w:p>
            <w:pPr>
              <w:pStyle w:val="Normal"/>
              <w:snapToGrid w:val="false"/>
              <w:rPr>
                <w:sz w:val="24"/>
              </w:rPr>
            </w:pPr>
            <w:r>
              <w:rPr>
                <w:sz w:val="24"/>
              </w:rPr>
            </w:r>
          </w:p>
        </w:tc>
        <w:tc>
          <w:tcPr>
            <w:tcW w:w="4320" w:type="dxa"/>
            <w:tcBorders/>
          </w:tcPr>
          <w:p>
            <w:pPr>
              <w:pStyle w:val="Normal"/>
              <w:rPr>
                <w:sz w:val="24"/>
              </w:rPr>
            </w:pPr>
            <w:r>
              <w:rPr>
                <w:sz w:val="24"/>
              </w:rPr>
              <w:t>Jim C. Kollaer, President &amp; CEO</w:t>
            </w:r>
          </w:p>
        </w:tc>
      </w:tr>
    </w:tbl>
    <w:p>
      <w:pPr>
        <w:pStyle w:val="Normal"/>
        <w:rPr>
          <w:sz w:val="24"/>
        </w:rPr>
      </w:pPr>
      <w:r>
        <w:rPr>
          <w:sz w:val="24"/>
        </w:rPr>
      </w:r>
    </w:p>
    <w:p>
      <w:pPr>
        <w:pStyle w:val="Normal"/>
        <w:rPr>
          <w:sz w:val="24"/>
        </w:rPr>
      </w:pPr>
      <w:r>
        <w:rPr>
          <w:sz w:val="24"/>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r>
        <w:trPr/>
        <w:tc>
          <w:tcPr>
            <w:tcW w:w="4334" w:type="dxa"/>
            <w:tcBorders/>
          </w:tcPr>
          <w:p>
            <w:pPr>
              <w:pStyle w:val="Normal"/>
              <w:rPr>
                <w:sz w:val="24"/>
              </w:rPr>
            </w:pPr>
            <w:r>
              <w:rPr>
                <w:sz w:val="24"/>
              </w:rPr>
              <w:t>R. Bruce LaBoon, Secretary</w:t>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bl>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Normal"/>
        <w:rPr/>
      </w:pPr>
      <w:r>
        <w:rPr/>
      </w:r>
    </w:p>
    <w:p>
      <w:pPr>
        <w:pStyle w:val="Normal"/>
        <w:rPr/>
      </w:pPr>
      <w:r>
        <w:rPr/>
      </w:r>
    </w:p>
    <w:p>
      <w:pPr>
        <w:pStyle w:val="Normal"/>
        <w:rPr/>
      </w:pPr>
      <w:r>
        <w:rPr/>
      </w:r>
    </w:p>
    <w:p>
      <w:pPr>
        <w:pStyle w:val="Normal"/>
        <w:autoSpaceDE w:val="false"/>
        <w:rPr>
          <w:b/>
          <w:bCs/>
          <w:sz w:val="24"/>
          <w:szCs w:val="24"/>
        </w:rPr>
      </w:pPr>
      <w:r>
        <w:rPr>
          <w:b/>
          <w:bCs/>
          <w:sz w:val="24"/>
          <w:szCs w:val="24"/>
        </w:rPr>
        <w:t>MEMORANDUM</w:t>
      </w:r>
    </w:p>
    <w:p>
      <w:pPr>
        <w:pStyle w:val="Normal"/>
        <w:autoSpaceDE w:val="false"/>
        <w:rPr>
          <w:sz w:val="24"/>
          <w:szCs w:val="24"/>
        </w:rPr>
      </w:pPr>
      <w:r>
        <w:rPr>
          <w:sz w:val="24"/>
          <w:szCs w:val="24"/>
        </w:rPr>
        <w:t> </w:t>
      </w:r>
    </w:p>
    <w:p>
      <w:pPr>
        <w:pStyle w:val="Normal"/>
        <w:autoSpaceDE w:val="false"/>
        <w:rPr>
          <w:b/>
          <w:bCs/>
          <w:sz w:val="24"/>
          <w:szCs w:val="24"/>
        </w:rPr>
      </w:pPr>
      <w:r>
        <w:rPr>
          <w:b/>
          <w:bCs/>
          <w:sz w:val="24"/>
          <w:szCs w:val="24"/>
        </w:rPr>
        <w:t>DATE:</w:t>
        <w:tab/>
      </w:r>
      <w:r>
        <w:rPr>
          <w:sz w:val="24"/>
          <w:szCs w:val="24"/>
        </w:rPr>
        <w:t>November 7, 2000</w:t>
      </w:r>
    </w:p>
    <w:p>
      <w:pPr>
        <w:pStyle w:val="Normal"/>
        <w:autoSpaceDE w:val="false"/>
        <w:rPr>
          <w:sz w:val="24"/>
          <w:szCs w:val="24"/>
        </w:rPr>
      </w:pPr>
      <w:r>
        <w:rPr>
          <w:sz w:val="24"/>
          <w:szCs w:val="24"/>
        </w:rPr>
        <w:t> </w:t>
      </w:r>
    </w:p>
    <w:p>
      <w:pPr>
        <w:pStyle w:val="Normal"/>
        <w:autoSpaceDE w:val="false"/>
        <w:rPr>
          <w:b/>
          <w:bCs/>
          <w:sz w:val="24"/>
          <w:szCs w:val="24"/>
        </w:rPr>
      </w:pPr>
      <w:r>
        <w:rPr>
          <w:b/>
          <w:bCs/>
          <w:sz w:val="24"/>
          <w:szCs w:val="24"/>
        </w:rPr>
        <w:t>TO:</w:t>
        <w:tab/>
        <w:tab/>
      </w:r>
      <w:r>
        <w:rPr>
          <w:sz w:val="24"/>
          <w:szCs w:val="24"/>
        </w:rPr>
        <w:t>Board of Directors</w:t>
      </w:r>
    </w:p>
    <w:p>
      <w:pPr>
        <w:pStyle w:val="Normal"/>
        <w:autoSpaceDE w:val="false"/>
        <w:rPr>
          <w:sz w:val="24"/>
          <w:szCs w:val="24"/>
        </w:rPr>
      </w:pPr>
      <w:r>
        <w:rPr>
          <w:sz w:val="24"/>
          <w:szCs w:val="24"/>
        </w:rPr>
        <w:t> </w:t>
      </w:r>
    </w:p>
    <w:p>
      <w:pPr>
        <w:pStyle w:val="Normal"/>
        <w:autoSpaceDE w:val="false"/>
        <w:rPr/>
      </w:pPr>
      <w:r>
        <w:rPr>
          <w:b/>
          <w:bCs/>
          <w:sz w:val="24"/>
          <w:szCs w:val="24"/>
        </w:rPr>
        <w:t>FROM:</w:t>
        <w:tab/>
      </w:r>
      <w:r>
        <w:rPr>
          <w:sz w:val="24"/>
          <w:szCs w:val="24"/>
        </w:rPr>
        <w:t>Rob Mosbacher, Jr., Chairman</w:t>
      </w:r>
    </w:p>
    <w:p>
      <w:pPr>
        <w:pStyle w:val="Normal"/>
        <w:autoSpaceDE w:val="false"/>
        <w:ind w:firstLine="720" w:start="720" w:end="0"/>
        <w:rPr>
          <w:sz w:val="24"/>
          <w:szCs w:val="24"/>
        </w:rPr>
      </w:pPr>
      <w:r>
        <w:rPr>
          <w:sz w:val="24"/>
          <w:szCs w:val="24"/>
        </w:rPr>
        <w:t>Education and Workforce Advisory Committee</w:t>
      </w:r>
    </w:p>
    <w:p>
      <w:pPr>
        <w:pStyle w:val="Normal"/>
        <w:autoSpaceDE w:val="false"/>
        <w:rPr>
          <w:sz w:val="24"/>
          <w:szCs w:val="24"/>
        </w:rPr>
      </w:pPr>
      <w:r>
        <w:rPr>
          <w:sz w:val="24"/>
          <w:szCs w:val="24"/>
        </w:rPr>
        <w:t> </w:t>
      </w:r>
    </w:p>
    <w:p>
      <w:pPr>
        <w:pStyle w:val="Normal"/>
        <w:autoSpaceDE w:val="false"/>
        <w:rPr/>
      </w:pPr>
      <w:r>
        <w:rPr>
          <w:b/>
          <w:bCs/>
          <w:sz w:val="24"/>
          <w:szCs w:val="24"/>
        </w:rPr>
        <w:t>SUBJECT:</w:t>
      </w:r>
      <w:r>
        <w:rPr>
          <w:sz w:val="24"/>
          <w:szCs w:val="24"/>
        </w:rPr>
        <w:tab/>
        <w:t>Resolution in Support of Texas Tier I Research Excellence Funding</w:t>
      </w:r>
    </w:p>
    <w:p>
      <w:pPr>
        <w:pStyle w:val="Normal"/>
        <w:pBdr>
          <w:bottom w:val="single" w:sz="12" w:space="1" w:color="000000"/>
        </w:pBdr>
        <w:autoSpaceDE w:val="false"/>
        <w:rPr>
          <w:sz w:val="24"/>
          <w:szCs w:val="24"/>
        </w:rPr>
      </w:pPr>
      <w:r>
        <w:rPr>
          <w:sz w:val="24"/>
          <w:szCs w:val="24"/>
        </w:rPr>
        <w:t> </w:t>
      </w:r>
    </w:p>
    <w:p>
      <w:pPr>
        <w:pStyle w:val="Normal"/>
        <w:autoSpaceDE w:val="false"/>
        <w:rPr>
          <w:sz w:val="24"/>
          <w:szCs w:val="24"/>
        </w:rPr>
      </w:pPr>
      <w:r>
        <w:rPr>
          <w:sz w:val="24"/>
          <w:szCs w:val="24"/>
        </w:rPr>
      </w:r>
    </w:p>
    <w:p>
      <w:pPr>
        <w:pStyle w:val="BodyText"/>
        <w:rPr>
          <w:b/>
          <w:bCs/>
        </w:rPr>
      </w:pPr>
      <w:r>
        <w:rPr>
          <w:b/>
          <w:bCs/>
        </w:rPr>
        <w:t>RECOMMENDATION</w:t>
      </w:r>
    </w:p>
    <w:p>
      <w:pPr>
        <w:pStyle w:val="BodyText"/>
        <w:rPr/>
      </w:pPr>
      <w:r>
        <w:rPr/>
        <w:t> </w:t>
      </w:r>
    </w:p>
    <w:p>
      <w:pPr>
        <w:pStyle w:val="BodyText"/>
        <w:rPr/>
      </w:pPr>
      <w:r>
        <w:rPr/>
        <w:t>The Greater Houston Partnership supports the establishment of a Texas Tier I Research Excellence Fund to support the University of Houston in meeting the demands for a well-educated and highly skilled workforce, to create new knowledge, and to develop new technologies that will keep the University and the Greater Houston area competitive in the 21</w:t>
      </w:r>
      <w:r>
        <w:rPr>
          <w:vertAlign w:val="superscript"/>
        </w:rPr>
        <w:t>st</w:t>
      </w:r>
      <w:r>
        <w:rPr/>
        <w:t xml:space="preserve"> century.  Texas Tier I Research Excellence Funding will also have a profound effect on students in Houston and all of Texas by opening the doors of opportunity and providing access to the highest quality educational programs.  It will attract nationally ranked faculty and staff, create new centers of research and spin-off companies, and increase the capacity of the University of Houston to serve our community.</w:t>
      </w:r>
    </w:p>
    <w:p>
      <w:pPr>
        <w:pStyle w:val="BodyText"/>
        <w:rPr/>
      </w:pPr>
      <w:r>
        <w:rPr/>
        <w:t> </w:t>
      </w:r>
    </w:p>
    <w:p>
      <w:pPr>
        <w:pStyle w:val="BodyText"/>
        <w:rPr/>
      </w:pPr>
      <w:r>
        <w:rPr/>
        <w:t>Texas is the nation’s second largest state, but ranks sixth in the receipt of vital federal research funding. Texas has three of the ten largest cities in the nation in Houston, San Antonio, and Dallas, which also are the only cities among the tern without flagship universities.  Texas cannot be a leader in economic growth and quality of life while trailing in the number of flagship research universities that attract and leverage essential research and development funding.</w:t>
      </w:r>
    </w:p>
    <w:p>
      <w:pPr>
        <w:pStyle w:val="BodyText"/>
        <w:rPr/>
      </w:pPr>
      <w:r>
        <w:rPr/>
        <w:t> </w:t>
      </w:r>
    </w:p>
    <w:p>
      <w:pPr>
        <w:pStyle w:val="BodyText"/>
        <w:rPr/>
      </w:pPr>
      <w:r>
        <w:rPr/>
        <w:t xml:space="preserve">The Texas Tier I Research Excellence Fund is a sound investment for the Greater Houston area, which represents 22 percent of the state’s population and work force, and 28 percent of the gross state product.  The return on this important state investment will be enhancement of quality education for the coming generations of Texans, increased retention and graduation rates, and a steady flow of federal research funds to keep Houston competitive globally in the fields of education and industry. </w:t>
      </w:r>
    </w:p>
    <w:p>
      <w:pPr>
        <w:pStyle w:val="Normal"/>
        <w:autoSpaceDE w:val="false"/>
        <w:rPr>
          <w:sz w:val="24"/>
          <w:szCs w:val="24"/>
        </w:rPr>
      </w:pPr>
      <w:r>
        <w:rPr>
          <w:sz w:val="24"/>
          <w:szCs w:val="24"/>
        </w:rPr>
      </w:r>
    </w:p>
    <w:p>
      <w:pPr>
        <w:pStyle w:val="Normal"/>
        <w:autoSpaceDE w:val="false"/>
        <w:rPr>
          <w:sz w:val="24"/>
          <w:szCs w:val="24"/>
        </w:rPr>
      </w:pPr>
      <w:r>
        <w:rPr>
          <w:sz w:val="24"/>
          <w:szCs w:val="24"/>
        </w:rPr>
        <w:t> </w:t>
      </w:r>
    </w:p>
    <w:p>
      <w:pPr>
        <w:pStyle w:val="Heading1"/>
        <w:ind w:hanging="0" w:start="0"/>
        <w:rPr>
          <w:bCs w:val="false"/>
        </w:rPr>
      </w:pPr>
      <w:r>
        <w:rPr>
          <w:bCs w:val="false"/>
        </w:rPr>
        <w:t>BACKGROUND</w:t>
      </w:r>
    </w:p>
    <w:p>
      <w:pPr>
        <w:pStyle w:val="Normal"/>
        <w:autoSpaceDE w:val="false"/>
        <w:rPr>
          <w:sz w:val="24"/>
          <w:szCs w:val="24"/>
        </w:rPr>
      </w:pPr>
      <w:r>
        <w:rPr>
          <w:sz w:val="24"/>
          <w:szCs w:val="24"/>
        </w:rPr>
        <w:t> </w:t>
      </w:r>
    </w:p>
    <w:p>
      <w:pPr>
        <w:pStyle w:val="Normal"/>
        <w:autoSpaceDE w:val="false"/>
        <w:rPr>
          <w:sz w:val="24"/>
          <w:szCs w:val="24"/>
        </w:rPr>
      </w:pPr>
      <w:r>
        <w:rPr>
          <w:sz w:val="24"/>
          <w:szCs w:val="24"/>
        </w:rPr>
        <w:t xml:space="preserve">Texas colleges and universities trail their peers in terms of important federal research and development funds.  The most recent data from the National Science Foundation show California, in 1998, led all states with more than $2 billion in funding annually.  New York was second with more than $1.1 billion. Texas ranked sixth among the states in federal R &amp; D funding with $730 million.  </w:t>
      </w:r>
    </w:p>
    <w:p>
      <w:pPr>
        <w:pStyle w:val="Normal"/>
        <w:autoSpaceDE w:val="false"/>
        <w:rPr>
          <w:sz w:val="24"/>
          <w:szCs w:val="24"/>
        </w:rPr>
      </w:pPr>
      <w:r>
        <w:rPr>
          <w:sz w:val="24"/>
          <w:szCs w:val="24"/>
        </w:rPr>
        <w:t> </w:t>
      </w:r>
    </w:p>
    <w:p>
      <w:pPr>
        <w:pStyle w:val="BodyText"/>
        <w:rPr/>
      </w:pPr>
      <w:r>
        <w:rPr/>
        <w:t>Three of the nation’s ten largest cities are in Texas; but Houston, San Antonio, and Dallas do not have flagship research universities.  The state’s only top-tier research universities are the University of Texas at Austin, which ranked #39 on the National Science Foundation list, and Texas A&amp;M University at College Station, which ranked #95. Texas cannot remain behind California, New York, and three other states in these vital areas and expect to be leaders in economic growth and quality of life.</w:t>
      </w:r>
    </w:p>
    <w:p>
      <w:pPr>
        <w:pStyle w:val="Normal"/>
        <w:autoSpaceDE w:val="false"/>
        <w:rPr>
          <w:sz w:val="24"/>
          <w:szCs w:val="24"/>
        </w:rPr>
      </w:pPr>
      <w:r>
        <w:rPr>
          <w:sz w:val="24"/>
          <w:szCs w:val="24"/>
        </w:rPr>
        <w:t> </w:t>
      </w:r>
    </w:p>
    <w:p>
      <w:pPr>
        <w:pStyle w:val="Normal"/>
        <w:autoSpaceDE w:val="false"/>
        <w:rPr>
          <w:sz w:val="24"/>
          <w:szCs w:val="24"/>
        </w:rPr>
      </w:pPr>
      <w:r>
        <w:rPr>
          <w:sz w:val="24"/>
          <w:szCs w:val="24"/>
        </w:rPr>
        <w:t>The University of Houston has played an integral role in the growth of the city of Houston and the Upper Gulf Coast region, and the University is expected to play an even greater role in this new century.  The educational and economic futures of Houston and of Texas depend upon the capacity of the University of Houston, and all of the state’s colleges and universities, to provide the educated work force and the new knowledge that are essential to a dynamic and rapidly changing economy.</w:t>
      </w:r>
    </w:p>
    <w:p>
      <w:pPr>
        <w:pStyle w:val="Normal"/>
        <w:autoSpaceDE w:val="false"/>
        <w:rPr>
          <w:sz w:val="24"/>
          <w:szCs w:val="24"/>
        </w:rPr>
      </w:pPr>
      <w:r>
        <w:rPr>
          <w:sz w:val="24"/>
          <w:szCs w:val="24"/>
        </w:rPr>
        <w:t> </w:t>
      </w:r>
    </w:p>
    <w:p>
      <w:pPr>
        <w:pStyle w:val="BodyText"/>
        <w:rPr/>
      </w:pPr>
      <w:r>
        <w:rPr/>
        <w:t>A top higher education priority for the 77</w:t>
      </w:r>
      <w:r>
        <w:rPr>
          <w:vertAlign w:val="superscript"/>
        </w:rPr>
        <w:t>th</w:t>
      </w:r>
      <w:r>
        <w:rPr/>
        <w:t xml:space="preserve"> Legislature, which convenes in January 2001, should be the establishment of the Texas Tier I Research Excellence Fund.  This fund should be equal in function to the excellence funding provided by the Permanent University Fund that has been enjoyed for many decades by UT-Austin and Texas A&amp;M-College Station.  The Texas Tier I Research Excellence Fund will enable the University of Houston and a carefully selected number of other Texas research-intensive universities to conduct the essential teaching and research that will keep our city and our state competitive in the new economy and in the marketplace of ideas. </w:t>
      </w:r>
    </w:p>
    <w:p>
      <w:pPr>
        <w:pStyle w:val="BodyText"/>
        <w:rPr/>
      </w:pPr>
      <w:r>
        <w:rPr/>
        <w:t> </w:t>
      </w:r>
    </w:p>
    <w:p>
      <w:pPr>
        <w:pStyle w:val="BodyText"/>
        <w:rPr/>
      </w:pPr>
      <w:r>
        <w:rPr/>
        <w:t>Houston and Texas have changed considerably since the Permanent University Fund was constitutionally established in 1875.  The hard drive has replaced the cattle drive, and silicon chips now run high-tech economic engines.  The ways and means to success have changed over 125 years, but excellence funding and flagship universities have not.  The Texas Tier I Research Excellence fund is an important step in the right direction.</w:t>
      </w:r>
    </w:p>
    <w:p>
      <w:pPr>
        <w:pStyle w:val="BodyText"/>
        <w:rPr/>
      </w:pPr>
      <w:r>
        <w:rPr/>
        <w:t> </w:t>
      </w:r>
    </w:p>
    <w:p>
      <w:pPr>
        <w:pStyle w:val="BodyText"/>
        <w:rPr/>
      </w:pPr>
      <w:r>
        <w:rPr/>
        <w:t> </w:t>
      </w:r>
    </w:p>
    <w:p>
      <w:pPr>
        <w:pStyle w:val="BodyText"/>
        <w:rPr>
          <w:b/>
          <w:bCs/>
        </w:rPr>
      </w:pPr>
      <w:r>
        <w:rPr>
          <w:b/>
          <w:bCs/>
        </w:rPr>
        <w:t>IMPLEMENTATION</w:t>
      </w:r>
    </w:p>
    <w:p>
      <w:pPr>
        <w:pStyle w:val="BodyText"/>
        <w:rPr/>
      </w:pPr>
      <w:r>
        <w:rPr/>
        <w:t> </w:t>
      </w:r>
    </w:p>
    <w:p>
      <w:pPr>
        <w:pStyle w:val="BodyText"/>
        <w:rPr/>
      </w:pPr>
      <w:r>
        <w:rPr/>
        <w:t>Communicate this position to the Houston-area legislative delegation, to Houston-area government officials, and to Houston-area businesses and employers.  Issue a news release to local media.</w:t>
      </w:r>
    </w:p>
    <w:p>
      <w:pPr>
        <w:pStyle w:val="BodyText"/>
        <w:rPr/>
      </w:pPr>
      <w:r>
        <w:rPr/>
        <w:t> </w:t>
      </w:r>
    </w:p>
    <w:p>
      <w:pPr>
        <w:pStyle w:val="BodyText"/>
        <w:rPr>
          <w:b/>
          <w:bCs/>
        </w:rPr>
      </w:pPr>
      <w:r>
        <w:rPr>
          <w:b/>
          <w:bCs/>
        </w:rPr>
      </w:r>
    </w:p>
    <w:p>
      <w:pPr>
        <w:pStyle w:val="BodyText"/>
        <w:rPr>
          <w:b/>
          <w:bCs/>
        </w:rPr>
      </w:pPr>
      <w:r>
        <w:rPr>
          <w:b/>
          <w:bCs/>
        </w:rPr>
        <w:t>RESOURCES REQUIRED</w:t>
      </w:r>
    </w:p>
    <w:p>
      <w:pPr>
        <w:pStyle w:val="Normal"/>
        <w:autoSpaceDE w:val="false"/>
        <w:rPr>
          <w:sz w:val="24"/>
          <w:szCs w:val="24"/>
        </w:rPr>
      </w:pPr>
      <w:r>
        <w:rPr>
          <w:sz w:val="24"/>
          <w:szCs w:val="24"/>
        </w:rPr>
        <w:t> </w:t>
      </w:r>
    </w:p>
    <w:p>
      <w:pPr>
        <w:pStyle w:val="Normal"/>
        <w:autoSpaceDE w:val="false"/>
        <w:rPr>
          <w:sz w:val="24"/>
          <w:szCs w:val="24"/>
        </w:rPr>
      </w:pPr>
      <w:r>
        <w:rPr>
          <w:sz w:val="24"/>
          <w:szCs w:val="24"/>
        </w:rPr>
        <w:t xml:space="preserve">This resolution can be implemented within current budgetary constraints. </w:t>
      </w:r>
    </w:p>
    <w:p>
      <w:pPr>
        <w:pStyle w:val="BodyText"/>
        <w:rPr/>
      </w:pPr>
      <w:r>
        <w:rPr/>
        <w:t> </w:t>
      </w:r>
    </w:p>
    <w:p>
      <w:pPr>
        <w:pStyle w:val="Normal"/>
        <w:autoSpaceDE w:val="false"/>
        <w:rPr>
          <w:sz w:val="24"/>
          <w:szCs w:val="24"/>
        </w:rPr>
      </w:pPr>
      <w:r>
        <w:rPr>
          <w:sz w:val="24"/>
          <w:szCs w:val="24"/>
        </w:rPr>
        <w:t> </w:t>
      </w:r>
    </w:p>
    <w:p>
      <w:pPr>
        <w:pStyle w:val="Normal"/>
        <w:autoSpaceDE w:val="false"/>
        <w:rPr>
          <w:sz w:val="24"/>
          <w:szCs w:val="24"/>
        </w:rPr>
      </w:pPr>
      <w:r>
        <w:rPr>
          <w:sz w:val="24"/>
          <w:szCs w:val="24"/>
        </w:rPr>
        <w:t> </w:t>
      </w:r>
      <w:r>
        <w:br w:type="page"/>
      </w:r>
    </w:p>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November 7, 2000</w:t>
      </w:r>
    </w:p>
    <w:p>
      <w:pPr>
        <w:pStyle w:val="Normal"/>
        <w:rPr>
          <w:b/>
          <w:sz w:val="28"/>
        </w:rPr>
      </w:pPr>
      <w:r>
        <w:rPr>
          <w:b/>
          <w:sz w:val="28"/>
        </w:rPr>
      </w:r>
    </w:p>
    <w:p>
      <w:pPr>
        <w:pStyle w:val="Normal"/>
        <w:jc w:val="center"/>
        <w:rPr>
          <w:b/>
          <w:sz w:val="28"/>
        </w:rPr>
      </w:pPr>
      <w:r>
        <w:rPr>
          <w:b/>
          <w:sz w:val="28"/>
        </w:rPr>
        <w:t xml:space="preserve">Resolution of the Board of Directors </w:t>
        <w:br/>
        <w:t>Position in Support of Educational Improvement</w:t>
      </w:r>
    </w:p>
    <w:p>
      <w:pPr>
        <w:pStyle w:val="Normal"/>
        <w:pBdr>
          <w:bottom w:val="single" w:sz="6" w:space="1" w:color="000000"/>
        </w:pBdr>
        <w:jc w:val="center"/>
        <w:rPr>
          <w:b/>
          <w:sz w:val="28"/>
        </w:rPr>
      </w:pPr>
      <w:r>
        <w:rPr>
          <w:b/>
          <w:sz w:val="28"/>
        </w:rPr>
      </w:r>
    </w:p>
    <w:p>
      <w:pPr>
        <w:pStyle w:val="Normal"/>
        <w:rPr/>
      </w:pPr>
      <w:r>
        <w:rPr/>
      </w:r>
    </w:p>
    <w:p>
      <w:pPr>
        <w:pStyle w:val="Normal"/>
        <w:rPr/>
      </w:pPr>
      <w:r>
        <w:rPr>
          <w:sz w:val="24"/>
        </w:rPr>
        <w:t>The Greater Houston Partnership advocates the following recommendations for action by the 77</w:t>
      </w:r>
      <w:r>
        <w:rPr>
          <w:sz w:val="24"/>
          <w:vertAlign w:val="superscript"/>
        </w:rPr>
        <w:t>th</w:t>
      </w:r>
      <w:r>
        <w:rPr>
          <w:sz w:val="24"/>
        </w:rPr>
        <w:t xml:space="preserve"> Texas Legislature.  This legislative agenda has also been adopted by the Texas Business and Education Coalition.  </w:t>
      </w:r>
    </w:p>
    <w:p>
      <w:pPr>
        <w:pStyle w:val="Normal"/>
        <w:rPr>
          <w:sz w:val="24"/>
        </w:rPr>
      </w:pPr>
      <w:r>
        <w:rPr>
          <w:sz w:val="24"/>
        </w:rPr>
      </w:r>
    </w:p>
    <w:p>
      <w:pPr>
        <w:pStyle w:val="BodyText"/>
        <w:rPr/>
      </w:pPr>
      <w:r>
        <w:rPr/>
        <w:t xml:space="preserve">The State must address several issues related to higher expectations.  </w:t>
      </w:r>
      <w:r>
        <w:rPr>
          <w:b/>
        </w:rPr>
        <w:t>The most important statewide issue over the next several years will be the workforce needs (teachers, principals, and superintendents) of Texas public schools.</w:t>
      </w:r>
      <w:r>
        <w:rPr/>
        <w:t xml:space="preserve">  Like any other enterprise, schools need qualified personnel to perform up to expectations. </w:t>
      </w:r>
    </w:p>
    <w:p>
      <w:pPr>
        <w:pStyle w:val="Header"/>
        <w:tabs>
          <w:tab w:val="clear" w:pos="4320"/>
          <w:tab w:val="clear" w:pos="8640"/>
        </w:tabs>
        <w:rPr/>
      </w:pPr>
      <w:r>
        <w:rPr/>
      </w:r>
    </w:p>
    <w:p>
      <w:pPr>
        <w:pStyle w:val="Heading4"/>
        <w:ind w:hanging="0" w:start="0"/>
        <w:rPr/>
      </w:pPr>
      <w:r>
        <w:rPr/>
        <w:t>Public School Workforce</w:t>
      </w:r>
    </w:p>
    <w:p>
      <w:pPr>
        <w:pStyle w:val="Header"/>
        <w:tabs>
          <w:tab w:val="clear" w:pos="4320"/>
          <w:tab w:val="clear" w:pos="8640"/>
        </w:tabs>
        <w:rPr/>
      </w:pPr>
      <w:r>
        <w:rPr/>
      </w:r>
    </w:p>
    <w:p>
      <w:pPr>
        <w:pStyle w:val="Normal"/>
        <w:numPr>
          <w:ilvl w:val="0"/>
          <w:numId w:val="18"/>
        </w:numPr>
        <w:jc w:val="both"/>
        <w:rPr>
          <w:sz w:val="24"/>
        </w:rPr>
      </w:pPr>
      <w:r>
        <w:rPr>
          <w:sz w:val="24"/>
        </w:rPr>
        <w:t>Establish “Teach for Texas” as an education workforce development initiative separate from the TEXAS Grant Program and make it available to students with a higher level of family income than in the program currently.</w:t>
      </w:r>
    </w:p>
    <w:p>
      <w:pPr>
        <w:pStyle w:val="Normal"/>
        <w:jc w:val="both"/>
        <w:rPr>
          <w:sz w:val="24"/>
        </w:rPr>
      </w:pPr>
      <w:r>
        <w:rPr>
          <w:sz w:val="24"/>
        </w:rPr>
      </w:r>
    </w:p>
    <w:p>
      <w:pPr>
        <w:pStyle w:val="Normal"/>
        <w:numPr>
          <w:ilvl w:val="0"/>
          <w:numId w:val="18"/>
        </w:numPr>
        <w:jc w:val="both"/>
        <w:rPr>
          <w:sz w:val="24"/>
        </w:rPr>
      </w:pPr>
      <w:r>
        <w:rPr>
          <w:sz w:val="24"/>
        </w:rPr>
        <w:t>Invest in beginning teacher induction programs.</w:t>
      </w:r>
    </w:p>
    <w:p>
      <w:pPr>
        <w:pStyle w:val="Header"/>
        <w:tabs>
          <w:tab w:val="clear" w:pos="4320"/>
          <w:tab w:val="clear" w:pos="8640"/>
        </w:tabs>
        <w:rPr>
          <w:sz w:val="24"/>
        </w:rPr>
      </w:pPr>
      <w:r>
        <w:rPr>
          <w:sz w:val="24"/>
        </w:rPr>
      </w:r>
    </w:p>
    <w:p>
      <w:pPr>
        <w:pStyle w:val="BodyText"/>
        <w:numPr>
          <w:ilvl w:val="0"/>
          <w:numId w:val="18"/>
        </w:numPr>
        <w:rPr/>
      </w:pPr>
      <w:r>
        <w:rPr/>
        <w:t>Provide principals and superintendents who have qualified for retirement benefits the same opportunity to continue working in Texas public schools that is extended to teachers.  Allow them to work also in Texas higher education institutions.  Remove the one-year waiting period.</w:t>
      </w:r>
    </w:p>
    <w:p>
      <w:pPr>
        <w:pStyle w:val="BodyText"/>
        <w:rPr/>
      </w:pPr>
      <w:r>
        <w:rPr/>
      </w:r>
    </w:p>
    <w:p>
      <w:pPr>
        <w:pStyle w:val="BodyText"/>
        <w:numPr>
          <w:ilvl w:val="0"/>
          <w:numId w:val="7"/>
        </w:numPr>
        <w:rPr/>
      </w:pPr>
      <w:r>
        <w:rPr/>
        <w:t>Reward educators for outstanding performance by implementing a program of annual school-wide bonuses similar to that in the “Incentive Grant Program” recommended by former Commissioner of Education Dr. Mike Moses to the 76</w:t>
      </w:r>
      <w:r>
        <w:rPr>
          <w:vertAlign w:val="superscript"/>
        </w:rPr>
        <w:t>th</w:t>
      </w:r>
      <w:r>
        <w:rPr/>
        <w:t xml:space="preserve"> Texas Legislature.</w:t>
      </w:r>
    </w:p>
    <w:p>
      <w:pPr>
        <w:pStyle w:val="BodyText"/>
        <w:rPr/>
      </w:pPr>
      <w:r>
        <w:rPr/>
      </w:r>
    </w:p>
    <w:p>
      <w:pPr>
        <w:pStyle w:val="Normal"/>
        <w:numPr>
          <w:ilvl w:val="0"/>
          <w:numId w:val="18"/>
        </w:numPr>
        <w:rPr>
          <w:sz w:val="24"/>
        </w:rPr>
      </w:pPr>
      <w:r>
        <w:rPr>
          <w:sz w:val="24"/>
        </w:rPr>
        <w:t>Improve the benefit package, including medical benefits, particularly for teachers.</w:t>
      </w:r>
    </w:p>
    <w:p>
      <w:pPr>
        <w:pStyle w:val="Normal"/>
        <w:rPr>
          <w:sz w:val="24"/>
        </w:rPr>
      </w:pPr>
      <w:r>
        <w:rPr>
          <w:sz w:val="24"/>
        </w:rPr>
      </w:r>
    </w:p>
    <w:p>
      <w:pPr>
        <w:pStyle w:val="Normal"/>
        <w:numPr>
          <w:ilvl w:val="0"/>
          <w:numId w:val="18"/>
        </w:numPr>
        <w:rPr>
          <w:sz w:val="24"/>
        </w:rPr>
      </w:pPr>
      <w:r>
        <w:rPr>
          <w:sz w:val="24"/>
        </w:rPr>
        <w:t>Sunset the teacher salary schedule this session and establish a more market-driven educator compensation system.</w:t>
      </w:r>
    </w:p>
    <w:p>
      <w:pPr>
        <w:pStyle w:val="BodyText"/>
        <w:rPr>
          <w:sz w:val="24"/>
        </w:rPr>
      </w:pPr>
      <w:r>
        <w:rPr>
          <w:sz w:val="24"/>
        </w:rPr>
      </w:r>
    </w:p>
    <w:p>
      <w:pPr>
        <w:pStyle w:val="Heading4"/>
        <w:ind w:hanging="0" w:start="0"/>
        <w:rPr/>
      </w:pPr>
      <w:r>
        <w:rPr/>
        <w:t>Educator Preparation and Certification Issues</w:t>
      </w:r>
    </w:p>
    <w:p>
      <w:pPr>
        <w:pStyle w:val="Header"/>
        <w:tabs>
          <w:tab w:val="clear" w:pos="4320"/>
          <w:tab w:val="clear" w:pos="8640"/>
        </w:tabs>
        <w:rPr/>
      </w:pPr>
      <w:r>
        <w:rPr/>
      </w:r>
    </w:p>
    <w:p>
      <w:pPr>
        <w:pStyle w:val="BodyText"/>
        <w:numPr>
          <w:ilvl w:val="0"/>
          <w:numId w:val="3"/>
        </w:numPr>
        <w:rPr/>
      </w:pPr>
      <w:r>
        <w:rPr/>
        <w:t>Establish a mechanism to provide state financial support to non-credit hour based segments of educator preparation programs.  Provide equal state support for educator preparation programs, whether operated by colleges and universities, school districts, regional education service centers or other entities.</w:t>
      </w:r>
    </w:p>
    <w:p>
      <w:pPr>
        <w:pStyle w:val="BodyText"/>
        <w:rPr/>
      </w:pPr>
      <w:r>
        <w:rPr/>
      </w:r>
    </w:p>
    <w:p>
      <w:pPr>
        <w:pStyle w:val="BodyText"/>
        <w:numPr>
          <w:ilvl w:val="0"/>
          <w:numId w:val="3"/>
        </w:numPr>
        <w:rPr/>
      </w:pPr>
      <w:r>
        <w:rPr/>
        <w:t>Remove obstacles and reduce individual costs associated with degreed individuals’ pursuing teacher certification.</w:t>
      </w:r>
    </w:p>
    <w:p>
      <w:pPr>
        <w:pStyle w:val="BodyText"/>
        <w:rPr/>
      </w:pPr>
      <w:r>
        <w:rPr/>
      </w:r>
    </w:p>
    <w:p>
      <w:pPr>
        <w:pStyle w:val="BodyText"/>
        <w:numPr>
          <w:ilvl w:val="0"/>
          <w:numId w:val="3"/>
        </w:numPr>
        <w:rPr/>
      </w:pPr>
      <w:r>
        <w:rPr/>
        <w:t>Establish a “Business to Teaching” initiative that would encourage and facilitate the movement of early business retirees into Texas classrooms.</w:t>
      </w:r>
    </w:p>
    <w:p>
      <w:pPr>
        <w:pStyle w:val="Header"/>
        <w:tabs>
          <w:tab w:val="clear" w:pos="4320"/>
          <w:tab w:val="clear" w:pos="8640"/>
        </w:tabs>
        <w:rPr/>
      </w:pPr>
      <w:r>
        <w:rPr/>
      </w:r>
    </w:p>
    <w:p>
      <w:pPr>
        <w:pStyle w:val="Normal"/>
        <w:numPr>
          <w:ilvl w:val="0"/>
          <w:numId w:val="3"/>
        </w:numPr>
        <w:jc w:val="both"/>
        <w:rPr>
          <w:sz w:val="24"/>
        </w:rPr>
      </w:pPr>
      <w:r>
        <w:rPr>
          <w:sz w:val="24"/>
        </w:rPr>
        <w:t>Give the State Board for Educator Certification (SBEC) independent decision-making authority free from review by the State Board of Education (SBOE).</w:t>
      </w:r>
    </w:p>
    <w:p>
      <w:pPr>
        <w:pStyle w:val="BodyText"/>
        <w:rPr>
          <w:sz w:val="24"/>
          <w:u w:val="single"/>
        </w:rPr>
      </w:pPr>
      <w:r>
        <w:rPr>
          <w:sz w:val="24"/>
          <w:u w:val="single"/>
        </w:rPr>
      </w:r>
    </w:p>
    <w:p>
      <w:pPr>
        <w:pStyle w:val="Normal"/>
        <w:numPr>
          <w:ilvl w:val="0"/>
          <w:numId w:val="18"/>
        </w:numPr>
        <w:jc w:val="both"/>
        <w:rPr>
          <w:sz w:val="24"/>
        </w:rPr>
      </w:pPr>
      <w:r>
        <w:rPr>
          <w:sz w:val="24"/>
        </w:rPr>
        <w:t>Establish an initiative to improve elementary and middle school math instruction similar to the Governor’s Reading Initiative.</w:t>
      </w:r>
    </w:p>
    <w:p>
      <w:pPr>
        <w:pStyle w:val="Header"/>
        <w:tabs>
          <w:tab w:val="clear" w:pos="4320"/>
          <w:tab w:val="clear" w:pos="8640"/>
        </w:tabs>
        <w:rPr>
          <w:sz w:val="24"/>
        </w:rPr>
      </w:pPr>
      <w:r>
        <w:rPr>
          <w:sz w:val="24"/>
        </w:rPr>
      </w:r>
    </w:p>
    <w:p>
      <w:pPr>
        <w:pStyle w:val="Normal"/>
        <w:numPr>
          <w:ilvl w:val="0"/>
          <w:numId w:val="6"/>
        </w:numPr>
        <w:jc w:val="both"/>
        <w:rPr>
          <w:sz w:val="24"/>
        </w:rPr>
      </w:pPr>
      <w:r>
        <w:rPr>
          <w:sz w:val="24"/>
        </w:rPr>
        <w:t>Establish an initiative to improve middle and high school teacher content knowledge and instruction, particularly in math and science.</w:t>
      </w:r>
    </w:p>
    <w:p>
      <w:pPr>
        <w:pStyle w:val="BodyText"/>
        <w:rPr>
          <w:sz w:val="24"/>
          <w:u w:val="single"/>
        </w:rPr>
      </w:pPr>
      <w:r>
        <w:rPr>
          <w:sz w:val="24"/>
          <w:u w:val="single"/>
        </w:rPr>
      </w:r>
    </w:p>
    <w:p>
      <w:pPr>
        <w:pStyle w:val="BodyText"/>
        <w:rPr>
          <w:b/>
          <w:bCs/>
        </w:rPr>
      </w:pPr>
      <w:r>
        <w:rPr>
          <w:b/>
          <w:bCs/>
        </w:rPr>
        <w:t xml:space="preserve">Other: </w:t>
      </w:r>
    </w:p>
    <w:p>
      <w:pPr>
        <w:pStyle w:val="BodyText"/>
        <w:rPr>
          <w:b/>
          <w:bCs/>
          <w:u w:val="single"/>
        </w:rPr>
      </w:pPr>
      <w:r>
        <w:rPr>
          <w:b/>
          <w:bCs/>
          <w:u w:val="single"/>
        </w:rPr>
      </w:r>
    </w:p>
    <w:p>
      <w:pPr>
        <w:pStyle w:val="BodyText"/>
        <w:rPr>
          <w:b/>
          <w:bCs/>
        </w:rPr>
      </w:pPr>
      <w:r>
        <w:rPr>
          <w:b/>
          <w:bCs/>
        </w:rPr>
        <w:t>Fiscal Accountability</w:t>
      </w:r>
    </w:p>
    <w:p>
      <w:pPr>
        <w:pStyle w:val="BodyText"/>
        <w:rPr>
          <w:b/>
          <w:bCs/>
        </w:rPr>
      </w:pPr>
      <w:r>
        <w:rPr>
          <w:b/>
          <w:bCs/>
        </w:rPr>
      </w:r>
    </w:p>
    <w:p>
      <w:pPr>
        <w:pStyle w:val="BodyText"/>
        <w:numPr>
          <w:ilvl w:val="0"/>
          <w:numId w:val="16"/>
        </w:numPr>
        <w:rPr/>
      </w:pPr>
      <w:r>
        <w:rPr/>
        <w:t>Establish a public school district fiscal accountability system like that recommended by the Commissioner of Education and the Comptroller of Public Accounts in response to SB 875.</w:t>
      </w:r>
    </w:p>
    <w:p>
      <w:pPr>
        <w:pStyle w:val="BodyText"/>
        <w:rPr/>
      </w:pPr>
      <w:r>
        <w:rPr/>
      </w:r>
    </w:p>
    <w:p>
      <w:pPr>
        <w:pStyle w:val="Heading4"/>
        <w:ind w:hanging="0" w:start="0"/>
        <w:rPr/>
      </w:pPr>
      <w:r>
        <w:rPr/>
        <w:t>Student Achievement</w:t>
      </w:r>
    </w:p>
    <w:p>
      <w:pPr>
        <w:pStyle w:val="Header"/>
        <w:tabs>
          <w:tab w:val="clear" w:pos="4320"/>
          <w:tab w:val="clear" w:pos="8640"/>
        </w:tabs>
        <w:rPr/>
      </w:pPr>
      <w:r>
        <w:rPr/>
      </w:r>
    </w:p>
    <w:p>
      <w:pPr>
        <w:pStyle w:val="BodyText"/>
        <w:numPr>
          <w:ilvl w:val="0"/>
          <w:numId w:val="21"/>
        </w:numPr>
        <w:rPr/>
      </w:pPr>
      <w:r>
        <w:rPr/>
        <w:t>Require TEA to report on school performance at the checkpoints of the Student Success Initiative.</w:t>
      </w:r>
    </w:p>
    <w:p>
      <w:pPr>
        <w:pStyle w:val="BodyText"/>
        <w:rPr/>
      </w:pPr>
      <w:r>
        <w:rPr/>
      </w:r>
    </w:p>
    <w:p>
      <w:pPr>
        <w:pStyle w:val="BodyText"/>
        <w:numPr>
          <w:ilvl w:val="0"/>
          <w:numId w:val="7"/>
        </w:numPr>
        <w:rPr/>
      </w:pPr>
      <w:r>
        <w:rPr/>
        <w:t>Require that all high school career and technology courses lead to/or be a part of the post-secondary degree or certificate program.</w:t>
      </w:r>
    </w:p>
    <w:p>
      <w:pPr>
        <w:pStyle w:val="Normal"/>
        <w:numPr>
          <w:ilvl w:val="0"/>
          <w:numId w:val="0"/>
        </w:numPr>
        <w:outlineLvl w:val="0"/>
        <w:rPr>
          <w:u w:val="single"/>
        </w:rPr>
      </w:pPr>
      <w:r>
        <w:rPr>
          <w:u w:val="single"/>
        </w:rPr>
      </w:r>
    </w:p>
    <w:p>
      <w:pPr>
        <w:pStyle w:val="Heading4"/>
        <w:ind w:hanging="0" w:start="0"/>
        <w:rPr/>
      </w:pPr>
      <w:r>
        <w:rPr/>
        <w:t>Technology</w:t>
      </w:r>
    </w:p>
    <w:p>
      <w:pPr>
        <w:pStyle w:val="Header"/>
        <w:tabs>
          <w:tab w:val="clear" w:pos="4320"/>
          <w:tab w:val="clear" w:pos="8640"/>
        </w:tabs>
        <w:rPr/>
      </w:pPr>
      <w:r>
        <w:rPr/>
      </w:r>
    </w:p>
    <w:p>
      <w:pPr>
        <w:pStyle w:val="BodyText"/>
        <w:numPr>
          <w:ilvl w:val="0"/>
          <w:numId w:val="9"/>
        </w:numPr>
        <w:rPr/>
      </w:pPr>
      <w:r>
        <w:rPr/>
        <w:t>Establish a program to improve school district information technology systems.  This is necessary to improve school operations, provide educators information to improve performance, and improve the quality of data.</w:t>
      </w:r>
    </w:p>
    <w:p>
      <w:pPr>
        <w:pStyle w:val="BodyText"/>
        <w:rPr/>
      </w:pPr>
      <w:r>
        <w:rPr/>
      </w:r>
    </w:p>
    <w:p>
      <w:pPr>
        <w:pStyle w:val="BodyText"/>
        <w:rPr/>
      </w:pPr>
      <w:r>
        <w:rPr/>
      </w:r>
    </w:p>
    <w:p>
      <w:pPr>
        <w:pStyle w:val="BodyText"/>
        <w:rPr/>
      </w:pPr>
      <w:r>
        <w:rPr/>
      </w:r>
    </w:p>
    <w:p>
      <w:pPr>
        <w:pStyle w:val="BodyText"/>
        <w:rPr/>
      </w:pPr>
      <w:r>
        <w:rPr/>
      </w:r>
    </w:p>
    <w:p>
      <w:pPr>
        <w:pStyle w:val="BodyText"/>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bottom w:val="single" w:sz="6" w:space="0" w:color="000000"/>
            </w:tcBorders>
          </w:tcPr>
          <w:p>
            <w:pPr>
              <w:pStyle w:val="Normal"/>
              <w:snapToGrid w:val="false"/>
              <w:rPr>
                <w:sz w:val="24"/>
              </w:rPr>
            </w:pPr>
            <w:r>
              <w:rPr>
                <w:sz w:val="24"/>
              </w:rPr>
            </w:r>
          </w:p>
        </w:tc>
      </w:tr>
      <w:tr>
        <w:trPr/>
        <w:tc>
          <w:tcPr>
            <w:tcW w:w="4334" w:type="dxa"/>
            <w:tcBorders/>
          </w:tcPr>
          <w:p>
            <w:pPr>
              <w:pStyle w:val="Normal"/>
              <w:rPr>
                <w:sz w:val="24"/>
              </w:rPr>
            </w:pPr>
            <w:r>
              <w:rPr>
                <w:sz w:val="24"/>
              </w:rPr>
              <w:t>James R. Royer, Chairman</w:t>
            </w:r>
          </w:p>
        </w:tc>
        <w:tc>
          <w:tcPr>
            <w:tcW w:w="648" w:type="dxa"/>
            <w:tcBorders/>
          </w:tcPr>
          <w:p>
            <w:pPr>
              <w:pStyle w:val="Normal"/>
              <w:snapToGrid w:val="false"/>
              <w:rPr>
                <w:sz w:val="24"/>
              </w:rPr>
            </w:pPr>
            <w:r>
              <w:rPr>
                <w:sz w:val="24"/>
              </w:rPr>
            </w:r>
          </w:p>
        </w:tc>
        <w:tc>
          <w:tcPr>
            <w:tcW w:w="4320" w:type="dxa"/>
            <w:tcBorders/>
          </w:tcPr>
          <w:p>
            <w:pPr>
              <w:pStyle w:val="Normal"/>
              <w:rPr>
                <w:sz w:val="24"/>
              </w:rPr>
            </w:pPr>
            <w:r>
              <w:rPr>
                <w:sz w:val="24"/>
              </w:rPr>
              <w:t>Jim C. Kollaer, President &amp; CEO</w:t>
            </w:r>
          </w:p>
        </w:tc>
      </w:tr>
    </w:tbl>
    <w:p>
      <w:pPr>
        <w:pStyle w:val="Normal"/>
        <w:rPr>
          <w:sz w:val="24"/>
        </w:rPr>
      </w:pPr>
      <w:r>
        <w:rPr>
          <w:sz w:val="24"/>
        </w:rPr>
      </w:r>
    </w:p>
    <w:p>
      <w:pPr>
        <w:pStyle w:val="Normal"/>
        <w:rPr>
          <w:sz w:val="24"/>
        </w:rPr>
      </w:pPr>
      <w:r>
        <w:rPr>
          <w:sz w:val="24"/>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r>
        <w:trPr/>
        <w:tc>
          <w:tcPr>
            <w:tcW w:w="4334" w:type="dxa"/>
            <w:tcBorders/>
          </w:tcPr>
          <w:p>
            <w:pPr>
              <w:pStyle w:val="Normal"/>
              <w:rPr>
                <w:sz w:val="24"/>
              </w:rPr>
            </w:pPr>
            <w:r>
              <w:rPr>
                <w:sz w:val="24"/>
              </w:rPr>
              <w:t>R. Bruce LaBoon, Secretary</w:t>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bl>
    <w:p>
      <w:pPr>
        <w:pStyle w:val="Normal"/>
        <w:spacing w:before="480" w:after="240"/>
        <w:rPr/>
      </w:pPr>
      <w:r>
        <w:rPr/>
      </w:r>
      <w:r>
        <w:br w:type="page"/>
      </w:r>
    </w:p>
    <w:p>
      <w:pPr>
        <w:pStyle w:val="Normal"/>
        <w:spacing w:before="480" w:after="240"/>
        <w:rPr>
          <w:b/>
          <w:bCs/>
        </w:rPr>
      </w:pPr>
      <w:r>
        <w:rPr>
          <w:b/>
          <w:bCs/>
        </w:rPr>
      </w:r>
    </w:p>
    <w:p>
      <w:pPr>
        <w:pStyle w:val="Heading7"/>
        <w:ind w:hanging="0" w:start="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sz w:val="24"/>
              </w:rPr>
            </w:pPr>
            <w:r>
              <w:rPr>
                <w:b/>
                <w:sz w:val="24"/>
              </w:rPr>
              <w:t>DATE:</w:t>
            </w:r>
          </w:p>
        </w:tc>
        <w:tc>
          <w:tcPr>
            <w:tcW w:w="7656" w:type="dxa"/>
            <w:tcBorders/>
          </w:tcPr>
          <w:p>
            <w:pPr>
              <w:pStyle w:val="Normal"/>
              <w:rPr>
                <w:sz w:val="24"/>
              </w:rPr>
            </w:pPr>
            <w:bookmarkStart w:id="0" w:name="memodate"/>
            <w:bookmarkEnd w:id="0"/>
            <w:r>
              <w:rPr>
                <w:sz w:val="24"/>
              </w:rPr>
              <w:t>October 6, 2000</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TO:</w:t>
            </w:r>
          </w:p>
        </w:tc>
        <w:tc>
          <w:tcPr>
            <w:tcW w:w="7656" w:type="dxa"/>
            <w:tcBorders/>
          </w:tcPr>
          <w:p>
            <w:pPr>
              <w:pStyle w:val="Normal"/>
              <w:rPr>
                <w:sz w:val="24"/>
              </w:rPr>
            </w:pPr>
            <w:bookmarkStart w:id="1" w:name="Distribution"/>
            <w:bookmarkEnd w:id="1"/>
            <w:r>
              <w:rPr>
                <w:sz w:val="24"/>
              </w:rPr>
              <w:t>Jim Royer</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FROM:</w:t>
            </w:r>
          </w:p>
        </w:tc>
        <w:tc>
          <w:tcPr>
            <w:tcW w:w="7656" w:type="dxa"/>
            <w:tcBorders/>
          </w:tcPr>
          <w:p>
            <w:pPr>
              <w:pStyle w:val="Normal"/>
              <w:rPr>
                <w:sz w:val="24"/>
              </w:rPr>
            </w:pPr>
            <w:bookmarkStart w:id="2" w:name="Source"/>
            <w:bookmarkEnd w:id="2"/>
            <w:r>
              <w:rPr>
                <w:sz w:val="24"/>
              </w:rPr>
              <w:t>Robert Mosbacher, Jr.</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SUBJECT:</w:t>
            </w:r>
          </w:p>
        </w:tc>
        <w:tc>
          <w:tcPr>
            <w:tcW w:w="7656" w:type="dxa"/>
            <w:tcBorders/>
          </w:tcPr>
          <w:p>
            <w:pPr>
              <w:pStyle w:val="Normal"/>
              <w:rPr>
                <w:sz w:val="24"/>
              </w:rPr>
            </w:pPr>
            <w:bookmarkStart w:id="3" w:name="Subject"/>
            <w:bookmarkEnd w:id="3"/>
            <w:r>
              <w:rPr>
                <w:sz w:val="24"/>
              </w:rPr>
              <w:t>Position in Support of Educational Reform</w:t>
            </w:r>
          </w:p>
        </w:tc>
      </w:tr>
    </w:tbl>
    <w:p>
      <w:pPr>
        <w:pStyle w:val="Normal"/>
        <w:tabs>
          <w:tab w:val="clear" w:pos="720"/>
          <w:tab w:val="left" w:pos="1440" w:leader="none"/>
        </w:tabs>
        <w:jc w:val="both"/>
        <w:rPr>
          <w:sz w:val="24"/>
        </w:rPr>
      </w:pPr>
      <w:r>
        <w:rPr>
          <w:sz w:val="24"/>
        </w:rPr>
      </w:r>
    </w:p>
    <w:p>
      <w:pPr>
        <w:pStyle w:val="Normal"/>
        <w:pBdr>
          <w:bottom w:val="single" w:sz="6" w:space="1" w:color="000000"/>
        </w:pBdr>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r>
    </w:p>
    <w:p>
      <w:pPr>
        <w:pStyle w:val="Heading1"/>
        <w:ind w:hanging="0" w:start="0"/>
        <w:rPr/>
      </w:pPr>
      <w:r>
        <w:rPr/>
        <w:t>RECOMMENDATIONS</w:t>
      </w:r>
    </w:p>
    <w:p>
      <w:pPr>
        <w:pStyle w:val="Normal"/>
        <w:tabs>
          <w:tab w:val="clear" w:pos="720"/>
          <w:tab w:val="left" w:pos="1440" w:leader="none"/>
        </w:tabs>
        <w:jc w:val="both"/>
        <w:rPr>
          <w:sz w:val="24"/>
        </w:rPr>
      </w:pPr>
      <w:r>
        <w:rPr>
          <w:sz w:val="24"/>
        </w:rPr>
      </w:r>
    </w:p>
    <w:p>
      <w:pPr>
        <w:pStyle w:val="Normal"/>
        <w:rPr/>
      </w:pPr>
      <w:r>
        <w:rPr>
          <w:sz w:val="24"/>
        </w:rPr>
        <w:t>The Greater Houston Partnership advocates the following recommendations for action by the 77</w:t>
      </w:r>
      <w:r>
        <w:rPr>
          <w:sz w:val="24"/>
          <w:vertAlign w:val="superscript"/>
        </w:rPr>
        <w:t>th</w:t>
      </w:r>
      <w:r>
        <w:rPr>
          <w:sz w:val="24"/>
        </w:rPr>
        <w:t xml:space="preserve"> Texas Legislature.  This legislative agenda has also been adopted by the Texas Business and Education Coalition.  </w:t>
      </w:r>
    </w:p>
    <w:p>
      <w:pPr>
        <w:pStyle w:val="Normal"/>
        <w:rPr>
          <w:sz w:val="24"/>
        </w:rPr>
      </w:pPr>
      <w:r>
        <w:rPr>
          <w:sz w:val="24"/>
        </w:rPr>
      </w:r>
    </w:p>
    <w:p>
      <w:pPr>
        <w:pStyle w:val="BodyText"/>
        <w:rPr/>
      </w:pPr>
      <w:r>
        <w:rPr/>
        <w:t xml:space="preserve">The State must address several issues related to higher expectations.  </w:t>
      </w:r>
      <w:r>
        <w:rPr>
          <w:b/>
        </w:rPr>
        <w:t>The most important statewide issue over the next several years will be the workforce needs (teachers, principals, and superintendents) of Texas public schools.</w:t>
      </w:r>
      <w:r>
        <w:rPr/>
        <w:t xml:space="preserve">  Like any other enterprise, schools need qualified personnel to perform up to expectations. </w:t>
      </w:r>
    </w:p>
    <w:p>
      <w:pPr>
        <w:pStyle w:val="Header"/>
        <w:tabs>
          <w:tab w:val="clear" w:pos="4320"/>
          <w:tab w:val="clear" w:pos="8640"/>
        </w:tabs>
        <w:rPr/>
      </w:pPr>
      <w:r>
        <w:rPr/>
      </w:r>
    </w:p>
    <w:p>
      <w:pPr>
        <w:pStyle w:val="Heading4"/>
        <w:ind w:hanging="0" w:start="0"/>
        <w:rPr/>
      </w:pPr>
      <w:r>
        <w:rPr/>
        <w:t>Public School Workforce</w:t>
      </w:r>
    </w:p>
    <w:p>
      <w:pPr>
        <w:pStyle w:val="Header"/>
        <w:tabs>
          <w:tab w:val="clear" w:pos="4320"/>
          <w:tab w:val="clear" w:pos="8640"/>
        </w:tabs>
        <w:rPr/>
      </w:pPr>
      <w:r>
        <w:rPr/>
      </w:r>
    </w:p>
    <w:p>
      <w:pPr>
        <w:pStyle w:val="Normal"/>
        <w:numPr>
          <w:ilvl w:val="0"/>
          <w:numId w:val="18"/>
        </w:numPr>
        <w:jc w:val="both"/>
        <w:rPr>
          <w:sz w:val="24"/>
        </w:rPr>
      </w:pPr>
      <w:r>
        <w:rPr>
          <w:sz w:val="24"/>
        </w:rPr>
        <w:t>Establish “Teach for Texas” as an education workforce development initiative separate from the TEXAS Grant Program and make it available to students with a higher level of family income than in the program currently.</w:t>
      </w:r>
    </w:p>
    <w:p>
      <w:pPr>
        <w:pStyle w:val="Normal"/>
        <w:jc w:val="both"/>
        <w:rPr>
          <w:sz w:val="24"/>
        </w:rPr>
      </w:pPr>
      <w:r>
        <w:rPr>
          <w:sz w:val="24"/>
        </w:rPr>
      </w:r>
    </w:p>
    <w:p>
      <w:pPr>
        <w:pStyle w:val="Normal"/>
        <w:numPr>
          <w:ilvl w:val="0"/>
          <w:numId w:val="18"/>
        </w:numPr>
        <w:jc w:val="both"/>
        <w:rPr>
          <w:sz w:val="24"/>
        </w:rPr>
      </w:pPr>
      <w:r>
        <w:rPr>
          <w:sz w:val="24"/>
        </w:rPr>
        <w:t>Invest in beginning teacher induction programs.</w:t>
      </w:r>
    </w:p>
    <w:p>
      <w:pPr>
        <w:pStyle w:val="Header"/>
        <w:tabs>
          <w:tab w:val="clear" w:pos="4320"/>
          <w:tab w:val="clear" w:pos="8640"/>
        </w:tabs>
        <w:rPr>
          <w:sz w:val="24"/>
        </w:rPr>
      </w:pPr>
      <w:r>
        <w:rPr>
          <w:sz w:val="24"/>
        </w:rPr>
      </w:r>
    </w:p>
    <w:p>
      <w:pPr>
        <w:pStyle w:val="BodyText"/>
        <w:numPr>
          <w:ilvl w:val="0"/>
          <w:numId w:val="18"/>
        </w:numPr>
        <w:rPr/>
      </w:pPr>
      <w:r>
        <w:rPr/>
        <w:t>Provide principals and superintendents who have qualified for retirement benefits the same opportunity to continue working in Texas public schools that is extended to teachers.  Allow them to work also in Texas higher education institutions.  Remove the one-year waiting period.</w:t>
      </w:r>
    </w:p>
    <w:p>
      <w:pPr>
        <w:pStyle w:val="BodyText"/>
        <w:rPr/>
      </w:pPr>
      <w:r>
        <w:rPr/>
      </w:r>
    </w:p>
    <w:p>
      <w:pPr>
        <w:pStyle w:val="BodyText"/>
        <w:numPr>
          <w:ilvl w:val="0"/>
          <w:numId w:val="7"/>
        </w:numPr>
        <w:rPr/>
      </w:pPr>
      <w:r>
        <w:rPr/>
        <w:t>Reward educators for outstanding performance by implementing a program of annual school-wide bonuses similar to that in the “Incentive Grant Program” recommended by former Commissioner of Education Dr. Mike Moses to the 76</w:t>
      </w:r>
      <w:r>
        <w:rPr>
          <w:vertAlign w:val="superscript"/>
        </w:rPr>
        <w:t>th</w:t>
      </w:r>
      <w:r>
        <w:rPr/>
        <w:t xml:space="preserve"> Texas Legislature.</w:t>
      </w:r>
    </w:p>
    <w:p>
      <w:pPr>
        <w:pStyle w:val="BodyText"/>
        <w:rPr/>
      </w:pPr>
      <w:r>
        <w:rPr/>
      </w:r>
    </w:p>
    <w:p>
      <w:pPr>
        <w:pStyle w:val="Normal"/>
        <w:numPr>
          <w:ilvl w:val="0"/>
          <w:numId w:val="18"/>
        </w:numPr>
        <w:rPr>
          <w:sz w:val="24"/>
        </w:rPr>
      </w:pPr>
      <w:r>
        <w:rPr>
          <w:sz w:val="24"/>
        </w:rPr>
        <w:t>Improve the benefit package, including medical benefits, particularly for teachers.  Sunset the teacher salary schedule this session and establish a more market-driven educator compensation system.</w:t>
      </w:r>
      <w:r>
        <w:br w:type="page"/>
      </w:r>
    </w:p>
    <w:p>
      <w:pPr>
        <w:pStyle w:val="BodyText"/>
        <w:rPr>
          <w:b/>
          <w:bCs/>
        </w:rPr>
      </w:pPr>
      <w:r>
        <w:rPr>
          <w:b/>
          <w:bCs/>
        </w:rPr>
        <w:t>Educator Preparation and Certification Issues</w:t>
      </w:r>
    </w:p>
    <w:p>
      <w:pPr>
        <w:pStyle w:val="Header"/>
        <w:tabs>
          <w:tab w:val="clear" w:pos="4320"/>
          <w:tab w:val="clear" w:pos="8640"/>
        </w:tabs>
        <w:rPr>
          <w:b/>
          <w:bCs/>
        </w:rPr>
      </w:pPr>
      <w:r>
        <w:rPr>
          <w:b/>
          <w:bCs/>
        </w:rPr>
      </w:r>
    </w:p>
    <w:p>
      <w:pPr>
        <w:pStyle w:val="BodyText"/>
        <w:numPr>
          <w:ilvl w:val="0"/>
          <w:numId w:val="3"/>
        </w:numPr>
        <w:rPr/>
      </w:pPr>
      <w:r>
        <w:rPr/>
        <w:t>Establish a mechanism to provide state financial support to non-credit hour based segments of educator preparation programs.  Provide equal state support for educator preparation programs, whether operated by colleges and universities, school districts, regional education service centers or other entities.</w:t>
      </w:r>
    </w:p>
    <w:p>
      <w:pPr>
        <w:pStyle w:val="BodyText"/>
        <w:rPr/>
      </w:pPr>
      <w:r>
        <w:rPr/>
      </w:r>
    </w:p>
    <w:p>
      <w:pPr>
        <w:pStyle w:val="BodyText"/>
        <w:numPr>
          <w:ilvl w:val="0"/>
          <w:numId w:val="3"/>
        </w:numPr>
        <w:rPr/>
      </w:pPr>
      <w:r>
        <w:rPr/>
        <w:t>Remove obstacles and reduce individual costs associated with degreed individuals’ pursuing teacher certification.</w:t>
      </w:r>
    </w:p>
    <w:p>
      <w:pPr>
        <w:pStyle w:val="BodyText"/>
        <w:rPr/>
      </w:pPr>
      <w:r>
        <w:rPr/>
      </w:r>
    </w:p>
    <w:p>
      <w:pPr>
        <w:pStyle w:val="BodyText"/>
        <w:numPr>
          <w:ilvl w:val="0"/>
          <w:numId w:val="3"/>
        </w:numPr>
        <w:rPr/>
      </w:pPr>
      <w:r>
        <w:rPr/>
        <w:t>Establish a “Business to Teaching” initiative that would encourage and facilitate the movement of early business retirees into Texas classrooms.</w:t>
      </w:r>
    </w:p>
    <w:p>
      <w:pPr>
        <w:pStyle w:val="Header"/>
        <w:tabs>
          <w:tab w:val="clear" w:pos="4320"/>
          <w:tab w:val="clear" w:pos="8640"/>
        </w:tabs>
        <w:rPr/>
      </w:pPr>
      <w:r>
        <w:rPr/>
      </w:r>
    </w:p>
    <w:p>
      <w:pPr>
        <w:pStyle w:val="Normal"/>
        <w:numPr>
          <w:ilvl w:val="0"/>
          <w:numId w:val="3"/>
        </w:numPr>
        <w:jc w:val="both"/>
        <w:rPr>
          <w:sz w:val="24"/>
        </w:rPr>
      </w:pPr>
      <w:r>
        <w:rPr>
          <w:sz w:val="24"/>
        </w:rPr>
        <w:t>Give the State Board for Educator Certification (SBEC) independent decision-making authority free from review by the State Board of Education (SBOE).</w:t>
      </w:r>
    </w:p>
    <w:p>
      <w:pPr>
        <w:pStyle w:val="BodyText"/>
        <w:rPr>
          <w:sz w:val="24"/>
          <w:u w:val="single"/>
        </w:rPr>
      </w:pPr>
      <w:r>
        <w:rPr>
          <w:sz w:val="24"/>
          <w:u w:val="single"/>
        </w:rPr>
      </w:r>
    </w:p>
    <w:p>
      <w:pPr>
        <w:pStyle w:val="Normal"/>
        <w:numPr>
          <w:ilvl w:val="0"/>
          <w:numId w:val="18"/>
        </w:numPr>
        <w:jc w:val="both"/>
        <w:rPr>
          <w:sz w:val="24"/>
        </w:rPr>
      </w:pPr>
      <w:r>
        <w:rPr>
          <w:sz w:val="24"/>
        </w:rPr>
        <w:t>Establish an initiative to improve elementary and middle school math instruction similar to the Governor’s Reading Initiative.</w:t>
      </w:r>
    </w:p>
    <w:p>
      <w:pPr>
        <w:pStyle w:val="Header"/>
        <w:tabs>
          <w:tab w:val="clear" w:pos="4320"/>
          <w:tab w:val="clear" w:pos="8640"/>
        </w:tabs>
        <w:rPr>
          <w:sz w:val="24"/>
        </w:rPr>
      </w:pPr>
      <w:r>
        <w:rPr>
          <w:sz w:val="24"/>
        </w:rPr>
      </w:r>
    </w:p>
    <w:p>
      <w:pPr>
        <w:pStyle w:val="Normal"/>
        <w:numPr>
          <w:ilvl w:val="0"/>
          <w:numId w:val="6"/>
        </w:numPr>
        <w:jc w:val="both"/>
        <w:rPr>
          <w:sz w:val="24"/>
        </w:rPr>
      </w:pPr>
      <w:r>
        <w:rPr>
          <w:sz w:val="24"/>
        </w:rPr>
        <w:t>Establish an initiative to improve middle and high school teacher content knowledge and instruction, particularly in math and science.</w:t>
      </w:r>
    </w:p>
    <w:p>
      <w:pPr>
        <w:pStyle w:val="BodyText"/>
        <w:rPr>
          <w:sz w:val="24"/>
          <w:u w:val="single"/>
        </w:rPr>
      </w:pPr>
      <w:r>
        <w:rPr>
          <w:sz w:val="24"/>
          <w:u w:val="single"/>
        </w:rPr>
      </w:r>
    </w:p>
    <w:p>
      <w:pPr>
        <w:pStyle w:val="BodyText"/>
        <w:rPr>
          <w:b/>
          <w:bCs/>
        </w:rPr>
      </w:pPr>
      <w:r>
        <w:rPr>
          <w:b/>
          <w:bCs/>
        </w:rPr>
        <w:t xml:space="preserve">Other: </w:t>
      </w:r>
    </w:p>
    <w:p>
      <w:pPr>
        <w:pStyle w:val="BodyText"/>
        <w:rPr>
          <w:b/>
          <w:bCs/>
          <w:u w:val="single"/>
        </w:rPr>
      </w:pPr>
      <w:r>
        <w:rPr>
          <w:b/>
          <w:bCs/>
          <w:u w:val="single"/>
        </w:rPr>
      </w:r>
    </w:p>
    <w:p>
      <w:pPr>
        <w:pStyle w:val="BodyText"/>
        <w:rPr>
          <w:b/>
          <w:bCs/>
        </w:rPr>
      </w:pPr>
      <w:r>
        <w:rPr>
          <w:b/>
          <w:bCs/>
        </w:rPr>
        <w:t>Fiscal Accountability</w:t>
      </w:r>
    </w:p>
    <w:p>
      <w:pPr>
        <w:pStyle w:val="BodyText"/>
        <w:rPr>
          <w:b/>
          <w:bCs/>
        </w:rPr>
      </w:pPr>
      <w:r>
        <w:rPr>
          <w:b/>
          <w:bCs/>
        </w:rPr>
      </w:r>
    </w:p>
    <w:p>
      <w:pPr>
        <w:pStyle w:val="BodyText"/>
        <w:numPr>
          <w:ilvl w:val="0"/>
          <w:numId w:val="16"/>
        </w:numPr>
        <w:rPr/>
      </w:pPr>
      <w:r>
        <w:rPr/>
        <w:t>Establish a public school district fiscal accountability system like that recommended by the Commissioner of Education and the Comptroller of Public Accounts in response to SB 875.</w:t>
      </w:r>
    </w:p>
    <w:p>
      <w:pPr>
        <w:pStyle w:val="BodyText"/>
        <w:rPr/>
      </w:pPr>
      <w:r>
        <w:rPr/>
      </w:r>
    </w:p>
    <w:p>
      <w:pPr>
        <w:pStyle w:val="Heading4"/>
        <w:ind w:hanging="0" w:start="0"/>
        <w:rPr/>
      </w:pPr>
      <w:r>
        <w:rPr/>
        <w:t>Student Achievement</w:t>
      </w:r>
    </w:p>
    <w:p>
      <w:pPr>
        <w:pStyle w:val="Header"/>
        <w:tabs>
          <w:tab w:val="clear" w:pos="4320"/>
          <w:tab w:val="clear" w:pos="8640"/>
        </w:tabs>
        <w:rPr/>
      </w:pPr>
      <w:r>
        <w:rPr/>
      </w:r>
    </w:p>
    <w:p>
      <w:pPr>
        <w:pStyle w:val="BodyText"/>
        <w:numPr>
          <w:ilvl w:val="0"/>
          <w:numId w:val="21"/>
        </w:numPr>
        <w:rPr/>
      </w:pPr>
      <w:r>
        <w:rPr/>
        <w:t>Require TEA to report on school performance at the checkpoints of the Student Success Initiative.</w:t>
      </w:r>
    </w:p>
    <w:p>
      <w:pPr>
        <w:pStyle w:val="BodyText"/>
        <w:rPr/>
      </w:pPr>
      <w:r>
        <w:rPr/>
      </w:r>
    </w:p>
    <w:p>
      <w:pPr>
        <w:pStyle w:val="BodyText"/>
        <w:numPr>
          <w:ilvl w:val="0"/>
          <w:numId w:val="7"/>
        </w:numPr>
        <w:rPr/>
      </w:pPr>
      <w:r>
        <w:rPr/>
        <w:t>Require that all high school career and technology courses lead to/or be a part of the post-secondary degree or certificate program.</w:t>
      </w:r>
    </w:p>
    <w:p>
      <w:pPr>
        <w:pStyle w:val="Normal"/>
        <w:numPr>
          <w:ilvl w:val="0"/>
          <w:numId w:val="0"/>
        </w:numPr>
        <w:outlineLvl w:val="0"/>
        <w:rPr>
          <w:u w:val="single"/>
        </w:rPr>
      </w:pPr>
      <w:r>
        <w:rPr>
          <w:u w:val="single"/>
        </w:rPr>
      </w:r>
    </w:p>
    <w:p>
      <w:pPr>
        <w:pStyle w:val="Heading4"/>
        <w:ind w:hanging="0" w:start="0"/>
        <w:rPr/>
      </w:pPr>
      <w:r>
        <w:rPr/>
        <w:t>Technology</w:t>
      </w:r>
    </w:p>
    <w:p>
      <w:pPr>
        <w:pStyle w:val="Header"/>
        <w:tabs>
          <w:tab w:val="clear" w:pos="4320"/>
          <w:tab w:val="clear" w:pos="8640"/>
        </w:tabs>
        <w:rPr/>
      </w:pPr>
      <w:r>
        <w:rPr/>
      </w:r>
    </w:p>
    <w:p>
      <w:pPr>
        <w:sectPr>
          <w:type w:val="nextPage"/>
          <w:pgSz w:w="12240" w:h="15840"/>
          <w:pgMar w:left="1685" w:right="1685" w:gutter="0" w:header="0" w:top="1296" w:footer="0" w:bottom="1296"/>
          <w:pgNumType w:fmt="decimal"/>
          <w:formProt w:val="false"/>
          <w:textDirection w:val="lrTb"/>
          <w:docGrid w:type="default" w:linePitch="360" w:charSpace="0"/>
        </w:sectPr>
        <w:pStyle w:val="BodyText"/>
        <w:numPr>
          <w:ilvl w:val="0"/>
          <w:numId w:val="9"/>
        </w:numPr>
        <w:rPr/>
      </w:pPr>
      <w:r>
        <w:rPr/>
        <w:t xml:space="preserve">Establish a program to improve school district information technology systems.  This is necessary to improve school operations, provide educators information to improve </w:t>
      </w:r>
    </w:p>
    <w:p>
      <w:pPr>
        <w:pStyle w:val="BodyText"/>
        <w:rPr/>
      </w:pPr>
      <w:r>
        <w:rPr/>
        <w:t>performance, and improve the quality of data.</w:t>
      </w:r>
    </w:p>
    <w:p>
      <w:pPr>
        <w:pStyle w:val="BodyText"/>
        <w:rPr/>
      </w:pPr>
      <w:r>
        <w:rPr/>
      </w:r>
    </w:p>
    <w:p>
      <w:pPr>
        <w:pStyle w:val="Heading1"/>
        <w:ind w:hanging="0" w:start="0"/>
        <w:rPr/>
      </w:pPr>
      <w:r>
        <w:rPr/>
        <w:t>BACKGROUND</w:t>
      </w:r>
    </w:p>
    <w:p>
      <w:pPr>
        <w:pStyle w:val="Normal"/>
        <w:tabs>
          <w:tab w:val="clear" w:pos="720"/>
          <w:tab w:val="left" w:pos="1440" w:leader="none"/>
        </w:tabs>
        <w:jc w:val="both"/>
        <w:rPr/>
      </w:pPr>
      <w:r>
        <w:rPr/>
      </w:r>
    </w:p>
    <w:p>
      <w:pPr>
        <w:pStyle w:val="BodyText"/>
        <w:rPr/>
      </w:pPr>
      <w:r>
        <w:rPr>
          <w:b/>
        </w:rPr>
        <w:t>Texas public schools face five major challenges</w:t>
      </w:r>
      <w:r>
        <w:rPr/>
        <w:t xml:space="preserve"> involving improved student results.  Each one of them is significant.  Together they represent an ambitious “ramping up” of the expectations Texas has set for its public schools.  It is necessary to </w:t>
      </w:r>
      <w:r>
        <w:rPr>
          <w:b/>
        </w:rPr>
        <w:t>provide educators a period of relative stability</w:t>
      </w:r>
      <w:r>
        <w:rPr/>
        <w:t xml:space="preserve"> during which they can make changes in educational programs to achieve the desired results.  It is especially important to make no significant changes in the accountability system over the next few years.</w:t>
      </w:r>
    </w:p>
    <w:p>
      <w:pPr>
        <w:pStyle w:val="BodyText"/>
        <w:rPr/>
      </w:pPr>
      <w:r>
        <w:rPr/>
      </w:r>
    </w:p>
    <w:p>
      <w:pPr>
        <w:pStyle w:val="BodyText"/>
        <w:numPr>
          <w:ilvl w:val="0"/>
          <w:numId w:val="0"/>
        </w:numPr>
        <w:jc w:val="center"/>
        <w:outlineLvl w:val="0"/>
        <w:rPr>
          <w:b/>
          <w:bCs/>
        </w:rPr>
      </w:pPr>
      <w:r>
        <w:rPr>
          <w:b/>
          <w:bCs/>
        </w:rPr>
        <w:t>The Challenges Facing Texas Public Schools</w:t>
      </w:r>
    </w:p>
    <w:p>
      <w:pPr>
        <w:pStyle w:val="Header"/>
        <w:tabs>
          <w:tab w:val="clear" w:pos="4320"/>
          <w:tab w:val="clear" w:pos="8640"/>
        </w:tabs>
        <w:rPr>
          <w:b/>
          <w:bCs/>
        </w:rPr>
      </w:pPr>
      <w:r>
        <w:rPr>
          <w:b/>
          <w:bCs/>
        </w:rPr>
      </w:r>
    </w:p>
    <w:p>
      <w:pPr>
        <w:pStyle w:val="BodyText"/>
        <w:numPr>
          <w:ilvl w:val="0"/>
          <w:numId w:val="10"/>
        </w:numPr>
        <w:rPr/>
      </w:pPr>
      <w:r>
        <w:rPr/>
        <w:t xml:space="preserve">TEKS-based TAAS.  Over the next two years, the Texas student assessment program will be changed to evaluate student performance on the objectives laid out in the Texas Essential Knowledge and Skills (TEKS).  </w:t>
      </w:r>
      <w:r>
        <w:rPr>
          <w:b/>
        </w:rPr>
        <w:t>These new tests will be considerably more demanding</w:t>
      </w:r>
      <w:r>
        <w:rPr/>
        <w:t xml:space="preserve"> because the TEKS, especially in math, are more rigorous than the “Essential Elements” they replaced.</w:t>
      </w:r>
    </w:p>
    <w:p>
      <w:pPr>
        <w:pStyle w:val="Normal"/>
        <w:jc w:val="both"/>
        <w:rPr/>
      </w:pPr>
      <w:r>
        <w:rPr/>
      </w:r>
    </w:p>
    <w:p>
      <w:pPr>
        <w:pStyle w:val="Normal"/>
        <w:numPr>
          <w:ilvl w:val="0"/>
          <w:numId w:val="10"/>
        </w:numPr>
        <w:jc w:val="both"/>
        <w:rPr>
          <w:bCs/>
          <w:sz w:val="24"/>
        </w:rPr>
      </w:pPr>
      <w:r>
        <w:rPr>
          <w:sz w:val="24"/>
        </w:rPr>
        <w:t>The Student Success Initiative (SSI).  Beginning with the first grade class of 2000-2001, students will be expected to pass 3</w:t>
      </w:r>
      <w:r>
        <w:rPr>
          <w:sz w:val="24"/>
          <w:vertAlign w:val="superscript"/>
        </w:rPr>
        <w:t>rd</w:t>
      </w:r>
      <w:r>
        <w:rPr>
          <w:sz w:val="24"/>
        </w:rPr>
        <w:t xml:space="preserve"> grade reading, 5</w:t>
      </w:r>
      <w:r>
        <w:rPr>
          <w:sz w:val="24"/>
          <w:vertAlign w:val="superscript"/>
        </w:rPr>
        <w:t>th</w:t>
      </w:r>
      <w:r>
        <w:rPr>
          <w:sz w:val="24"/>
        </w:rPr>
        <w:t xml:space="preserve"> grade reading and math, and 8</w:t>
      </w:r>
      <w:r>
        <w:rPr>
          <w:sz w:val="24"/>
          <w:vertAlign w:val="superscript"/>
        </w:rPr>
        <w:t>th</w:t>
      </w:r>
      <w:r>
        <w:rPr>
          <w:sz w:val="24"/>
        </w:rPr>
        <w:t xml:space="preserve"> grade reading and math assessments before being promoted to the next grade level.  </w:t>
      </w:r>
      <w:r>
        <w:rPr>
          <w:b/>
          <w:sz w:val="24"/>
        </w:rPr>
        <w:t>Many schools face a significant challenge as they work to bring all their students to grade level as required by this initiative.</w:t>
      </w:r>
    </w:p>
    <w:p>
      <w:pPr>
        <w:pStyle w:val="Normal"/>
        <w:jc w:val="both"/>
        <w:rPr>
          <w:bCs/>
          <w:sz w:val="24"/>
        </w:rPr>
      </w:pPr>
      <w:r>
        <w:rPr>
          <w:bCs/>
          <w:sz w:val="24"/>
        </w:rPr>
      </w:r>
    </w:p>
    <w:p>
      <w:pPr>
        <w:pStyle w:val="Normal"/>
        <w:tabs>
          <w:tab w:val="clear" w:pos="720"/>
          <w:tab w:val="left" w:pos="360" w:leader="none"/>
        </w:tabs>
        <w:ind w:hanging="360" w:start="360" w:end="0"/>
        <w:jc w:val="both"/>
        <w:rPr/>
      </w:pPr>
      <w:r>
        <w:rPr>
          <w:sz w:val="24"/>
        </w:rPr>
        <w:t>3.</w:t>
        <w:tab/>
        <w:t>The 11</w:t>
      </w:r>
      <w:r>
        <w:rPr>
          <w:sz w:val="24"/>
          <w:vertAlign w:val="superscript"/>
        </w:rPr>
        <w:t>th</w:t>
      </w:r>
      <w:r>
        <w:rPr>
          <w:sz w:val="24"/>
        </w:rPr>
        <w:t xml:space="preserve"> Grade Exit Test.  Beginning with the 8</w:t>
      </w:r>
      <w:r>
        <w:rPr>
          <w:sz w:val="24"/>
          <w:vertAlign w:val="superscript"/>
        </w:rPr>
        <w:t>th</w:t>
      </w:r>
      <w:r>
        <w:rPr>
          <w:sz w:val="24"/>
        </w:rPr>
        <w:t xml:space="preserve"> grade class of 2000-2001, students will be required to pass new 11</w:t>
      </w:r>
      <w:r>
        <w:rPr>
          <w:sz w:val="24"/>
          <w:vertAlign w:val="superscript"/>
        </w:rPr>
        <w:t>th</w:t>
      </w:r>
      <w:r>
        <w:rPr>
          <w:sz w:val="24"/>
        </w:rPr>
        <w:t xml:space="preserve"> grade exit-level tests as a high school graduation requirement.  These new assessments in English-language arts, mathematics, science and social studies will be more rigorous than the 10</w:t>
      </w:r>
      <w:r>
        <w:rPr>
          <w:sz w:val="24"/>
          <w:vertAlign w:val="superscript"/>
        </w:rPr>
        <w:t>th</w:t>
      </w:r>
      <w:r>
        <w:rPr>
          <w:sz w:val="24"/>
        </w:rPr>
        <w:t xml:space="preserve"> grade tests in reading, mathematics and writing they replace.  </w:t>
      </w:r>
      <w:r>
        <w:rPr>
          <w:b/>
          <w:sz w:val="24"/>
        </w:rPr>
        <w:t>High schools must make major program and instructional improvements to prepare students for the more rigorous standards of the new 11</w:t>
      </w:r>
      <w:r>
        <w:rPr>
          <w:b/>
          <w:sz w:val="24"/>
          <w:vertAlign w:val="superscript"/>
        </w:rPr>
        <w:t>th</w:t>
      </w:r>
      <w:r>
        <w:rPr>
          <w:b/>
          <w:sz w:val="24"/>
        </w:rPr>
        <w:t xml:space="preserve"> grade tests.</w:t>
      </w:r>
    </w:p>
    <w:p>
      <w:pPr>
        <w:pStyle w:val="Normal"/>
        <w:jc w:val="both"/>
        <w:rPr>
          <w:b/>
          <w:bCs/>
          <w:sz w:val="24"/>
        </w:rPr>
      </w:pPr>
      <w:r>
        <w:rPr>
          <w:b/>
          <w:bCs/>
          <w:sz w:val="24"/>
        </w:rPr>
      </w:r>
    </w:p>
    <w:p>
      <w:pPr>
        <w:pStyle w:val="Normal"/>
        <w:numPr>
          <w:ilvl w:val="0"/>
          <w:numId w:val="11"/>
        </w:numPr>
        <w:jc w:val="both"/>
        <w:rPr>
          <w:b/>
          <w:sz w:val="24"/>
        </w:rPr>
      </w:pPr>
      <w:r>
        <w:rPr>
          <w:sz w:val="24"/>
        </w:rPr>
        <w:t xml:space="preserve">High School Completion.  There has been much discussion and controversy in recent years regarding whether or not the official dropout rate reflects the actual situation in Texas schools. However the reporting issues are resolved, it is clear to everyone that far too many students are not completing high school.  </w:t>
      </w:r>
      <w:r>
        <w:rPr>
          <w:b/>
          <w:sz w:val="24"/>
        </w:rPr>
        <w:t>Texas must continue to expect that an ever-increasing percentage and ever increasing numbers of students will complete their high school education.</w:t>
      </w:r>
    </w:p>
    <w:p>
      <w:pPr>
        <w:pStyle w:val="Normal"/>
        <w:jc w:val="both"/>
        <w:rPr>
          <w:b/>
          <w:sz w:val="24"/>
        </w:rPr>
      </w:pPr>
      <w:r>
        <w:rPr>
          <w:b/>
          <w:sz w:val="24"/>
        </w:rPr>
      </w:r>
    </w:p>
    <w:p>
      <w:pPr>
        <w:pStyle w:val="Normal"/>
        <w:numPr>
          <w:ilvl w:val="0"/>
          <w:numId w:val="11"/>
        </w:numPr>
        <w:tabs>
          <w:tab w:val="clear" w:pos="720"/>
          <w:tab w:val="left" w:pos="360" w:leader="none"/>
        </w:tabs>
        <w:jc w:val="both"/>
        <w:rPr>
          <w:sz w:val="24"/>
        </w:rPr>
      </w:pPr>
      <w:r>
        <w:rPr>
          <w:sz w:val="24"/>
        </w:rPr>
        <w:t xml:space="preserve">The Quality of the Texas High School Education.  Too many students, parents, and educators are focused on the minimum requirements to get out of high school or into college.  Texas state policy should be informed by research about the quality of education that is necessary to prepare students for success in the endeavor of their choice after high school, whether that be further education, work, or the military.  There are two important aspects of this challenge.  </w:t>
      </w:r>
    </w:p>
    <w:p>
      <w:pPr>
        <w:pStyle w:val="Normal"/>
        <w:jc w:val="both"/>
        <w:rPr>
          <w:sz w:val="24"/>
        </w:rPr>
      </w:pPr>
      <w:r>
        <w:rPr>
          <w:sz w:val="24"/>
        </w:rPr>
      </w:r>
    </w:p>
    <w:p>
      <w:pPr>
        <w:pStyle w:val="BodyTextIndent"/>
        <w:ind w:start="0" w:end="0"/>
        <w:rPr/>
      </w:pPr>
      <w:r>
        <w:rPr>
          <w:b/>
        </w:rPr>
        <w:t>State policy should continue to encourage more students to complete a rigorous course of study in high school.</w:t>
      </w:r>
      <w:r>
        <w:rPr/>
        <w:t xml:space="preserve">  The following indicators are important measures in this regard:</w:t>
      </w:r>
    </w:p>
    <w:p>
      <w:pPr>
        <w:pStyle w:val="BodyTextIndent"/>
        <w:ind w:start="0" w:end="0"/>
        <w:rPr/>
      </w:pPr>
      <w:r>
        <w:rPr/>
        <w:t xml:space="preserve"> </w:t>
      </w:r>
    </w:p>
    <w:p>
      <w:pPr>
        <w:pStyle w:val="Normal"/>
        <w:numPr>
          <w:ilvl w:val="0"/>
          <w:numId w:val="25"/>
        </w:numPr>
        <w:ind w:hanging="0" w:start="0" w:end="0"/>
        <w:jc w:val="both"/>
        <w:rPr>
          <w:sz w:val="24"/>
        </w:rPr>
      </w:pPr>
      <w:r>
        <w:rPr>
          <w:sz w:val="24"/>
        </w:rPr>
        <w:t>completion of the Recommended or Distinguished Achievement High School</w:t>
      </w:r>
    </w:p>
    <w:p>
      <w:pPr>
        <w:pStyle w:val="Normal"/>
        <w:ind w:firstLine="360" w:end="0"/>
        <w:jc w:val="both"/>
        <w:rPr>
          <w:sz w:val="24"/>
        </w:rPr>
      </w:pPr>
      <w:r>
        <w:rPr>
          <w:sz w:val="24"/>
        </w:rPr>
        <w:t>Programs,</w:t>
      </w:r>
    </w:p>
    <w:p>
      <w:pPr>
        <w:pStyle w:val="Normal"/>
        <w:ind w:firstLine="360" w:end="0"/>
        <w:jc w:val="both"/>
        <w:rPr>
          <w:sz w:val="24"/>
        </w:rPr>
      </w:pPr>
      <w:r>
        <w:rPr>
          <w:sz w:val="24"/>
        </w:rPr>
      </w:r>
    </w:p>
    <w:p>
      <w:pPr>
        <w:pStyle w:val="Normal"/>
        <w:numPr>
          <w:ilvl w:val="0"/>
          <w:numId w:val="25"/>
        </w:numPr>
        <w:ind w:hanging="0" w:start="0" w:end="0"/>
        <w:jc w:val="both"/>
        <w:rPr>
          <w:sz w:val="24"/>
        </w:rPr>
      </w:pPr>
      <w:r>
        <w:rPr>
          <w:sz w:val="24"/>
        </w:rPr>
        <w:t>the number of students completing courses in math, science and foreign language,</w:t>
      </w:r>
    </w:p>
    <w:p>
      <w:pPr>
        <w:pStyle w:val="Normal"/>
        <w:jc w:val="both"/>
        <w:rPr>
          <w:sz w:val="24"/>
        </w:rPr>
      </w:pPr>
      <w:r>
        <w:rPr>
          <w:sz w:val="24"/>
        </w:rPr>
      </w:r>
    </w:p>
    <w:p>
      <w:pPr>
        <w:pStyle w:val="BodyTextIndent"/>
        <w:numPr>
          <w:ilvl w:val="0"/>
          <w:numId w:val="25"/>
        </w:numPr>
        <w:ind w:hanging="0" w:start="0" w:end="0"/>
        <w:rPr/>
      </w:pPr>
      <w:r>
        <w:rPr/>
        <w:t>the number of students completing Advanced Placement or International</w:t>
      </w:r>
    </w:p>
    <w:p>
      <w:pPr>
        <w:pStyle w:val="BodyTextIndent"/>
        <w:ind w:firstLine="360" w:start="0" w:end="0"/>
        <w:rPr/>
      </w:pPr>
      <w:r>
        <w:rPr/>
        <w:t>Baccalaureate courses and their tests scores, and</w:t>
      </w:r>
    </w:p>
    <w:p>
      <w:pPr>
        <w:pStyle w:val="BodyTextIndent"/>
        <w:ind w:firstLine="360" w:start="0" w:end="0"/>
        <w:rPr/>
      </w:pPr>
      <w:r>
        <w:rPr/>
      </w:r>
    </w:p>
    <w:p>
      <w:pPr>
        <w:pStyle w:val="Normal"/>
        <w:numPr>
          <w:ilvl w:val="0"/>
          <w:numId w:val="25"/>
        </w:numPr>
        <w:ind w:hanging="0" w:start="0" w:end="0"/>
        <w:jc w:val="both"/>
        <w:rPr>
          <w:sz w:val="24"/>
        </w:rPr>
      </w:pPr>
      <w:r>
        <w:rPr>
          <w:sz w:val="24"/>
        </w:rPr>
        <w:t xml:space="preserve">the number of students completing college-level courses while in high school </w:t>
      </w:r>
    </w:p>
    <w:p>
      <w:pPr>
        <w:pStyle w:val="Normal"/>
        <w:ind w:firstLine="360" w:end="0"/>
        <w:jc w:val="both"/>
        <w:rPr>
          <w:sz w:val="24"/>
        </w:rPr>
      </w:pPr>
      <w:r>
        <w:rPr>
          <w:sz w:val="24"/>
        </w:rPr>
        <w:t xml:space="preserve">through dual enrollment programs.  </w:t>
      </w:r>
    </w:p>
    <w:p>
      <w:pPr>
        <w:pStyle w:val="Normal"/>
        <w:ind w:start="360" w:end="0"/>
        <w:jc w:val="both"/>
        <w:rPr>
          <w:sz w:val="24"/>
        </w:rPr>
      </w:pPr>
      <w:r>
        <w:rPr>
          <w:sz w:val="24"/>
        </w:rPr>
      </w:r>
    </w:p>
    <w:p>
      <w:pPr>
        <w:pStyle w:val="Normal"/>
        <w:jc w:val="both"/>
        <w:rPr/>
      </w:pPr>
      <w:r>
        <w:rPr>
          <w:b/>
          <w:sz w:val="24"/>
        </w:rPr>
        <w:t>The State must act to improve the quality of courses and instruction in Texas high schools</w:t>
      </w:r>
      <w:r>
        <w:rPr>
          <w:sz w:val="24"/>
        </w:rPr>
        <w:t xml:space="preserve">.  Research shows that Texas students do not score as high on college entrance tests as students across the country who report taking the same rigorous courses in high school.  Other test results show a fall off in student performance at the high school level when compared to elementary and middle school levels.  These disappointing results and the state’s more rigorous graduation requirements are sufficient reason for investments in high school improvement.  </w:t>
      </w:r>
    </w:p>
    <w:p>
      <w:pPr>
        <w:pStyle w:val="Header"/>
        <w:tabs>
          <w:tab w:val="clear" w:pos="4320"/>
          <w:tab w:val="clear" w:pos="8640"/>
        </w:tabs>
        <w:rPr>
          <w:sz w:val="24"/>
        </w:rPr>
      </w:pPr>
      <w:r>
        <w:rPr>
          <w:sz w:val="24"/>
        </w:rPr>
      </w:r>
    </w:p>
    <w:p>
      <w:pPr>
        <w:pStyle w:val="Heading4"/>
        <w:ind w:hanging="0" w:start="0"/>
        <w:rPr/>
      </w:pPr>
      <w:r>
        <w:rPr/>
        <w:t>IMPLEMENTATION</w:t>
      </w:r>
    </w:p>
    <w:p>
      <w:pPr>
        <w:pStyle w:val="Normal"/>
        <w:rPr/>
      </w:pPr>
      <w:r>
        <w:rPr/>
      </w:r>
    </w:p>
    <w:p>
      <w:pPr>
        <w:pStyle w:val="Normal"/>
        <w:rPr/>
      </w:pPr>
      <w:r>
        <w:rPr>
          <w:sz w:val="24"/>
        </w:rPr>
        <w:t>Communicate this position to members of the area legislative delegation, appropriate legislative leaders, Houston-area and statewide business groups and interested parties.  Include the position in summaries of the Partnership’s legislative program for the 77</w:t>
      </w:r>
      <w:r>
        <w:rPr>
          <w:sz w:val="24"/>
          <w:vertAlign w:val="superscript"/>
        </w:rPr>
        <w:t>th</w:t>
      </w:r>
      <w:r>
        <w:rPr>
          <w:sz w:val="24"/>
        </w:rPr>
        <w:t xml:space="preserve"> Legislative Session.</w:t>
      </w:r>
    </w:p>
    <w:p>
      <w:pPr>
        <w:pStyle w:val="Normal"/>
        <w:rPr>
          <w:sz w:val="24"/>
        </w:rPr>
      </w:pPr>
      <w:r>
        <w:rPr>
          <w:sz w:val="24"/>
        </w:rPr>
      </w:r>
    </w:p>
    <w:p>
      <w:pPr>
        <w:pStyle w:val="Normal"/>
        <w:rPr>
          <w:sz w:val="24"/>
        </w:rPr>
      </w:pPr>
      <w:r>
        <w:rPr>
          <w:sz w:val="24"/>
        </w:rPr>
        <w:t xml:space="preserve">Review proposed legislation on these issues during the legislative session.  Develop additional positions on specific bills as deemed appropriate by the Education and Workforce Advisory Committee.  Present testimony at legislative committee hearings, in coordination with the Texas Business and Education Coalition.  </w:t>
      </w:r>
    </w:p>
    <w:p>
      <w:pPr>
        <w:pStyle w:val="Normal"/>
        <w:rPr>
          <w:sz w:val="24"/>
        </w:rPr>
      </w:pPr>
      <w:r>
        <w:rPr>
          <w:sz w:val="24"/>
        </w:rPr>
      </w:r>
    </w:p>
    <w:p>
      <w:pPr>
        <w:pStyle w:val="Heading4"/>
        <w:ind w:hanging="0" w:start="0"/>
        <w:rPr/>
      </w:pPr>
      <w:r>
        <w:rPr/>
        <w:t>RESOURCES REQUIRED</w:t>
      </w:r>
    </w:p>
    <w:p>
      <w:pPr>
        <w:pStyle w:val="Normal"/>
        <w:rPr/>
      </w:pPr>
      <w:r>
        <w:rPr/>
      </w:r>
    </w:p>
    <w:p>
      <w:pPr>
        <w:pStyle w:val="BodyText"/>
        <w:autoSpaceDE w:val="true"/>
        <w:rPr>
          <w:szCs w:val="20"/>
        </w:rPr>
      </w:pPr>
      <w:r>
        <w:rPr>
          <w:szCs w:val="20"/>
        </w:rPr>
        <w:t xml:space="preserve">This recommendation can be implemented with available staff and within the current operating budget.  </w:t>
      </w:r>
      <w:r>
        <w:br w:type="page"/>
      </w:r>
    </w:p>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November 7, 2000</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Position in Support of Tort Reform</w:t>
      </w:r>
    </w:p>
    <w:p>
      <w:pPr>
        <w:pStyle w:val="Normal"/>
        <w:pBdr>
          <w:bottom w:val="single" w:sz="6" w:space="1" w:color="000000"/>
        </w:pBdr>
        <w:rPr>
          <w:b/>
          <w:sz w:val="28"/>
        </w:rPr>
      </w:pPr>
      <w:r>
        <w:rPr>
          <w:b/>
          <w:sz w:val="28"/>
        </w:rPr>
      </w:r>
    </w:p>
    <w:p>
      <w:pPr>
        <w:pStyle w:val="Normal"/>
        <w:rPr/>
      </w:pPr>
      <w:r>
        <w:rPr/>
      </w:r>
    </w:p>
    <w:p>
      <w:pPr>
        <w:pStyle w:val="Normal"/>
        <w:rPr>
          <w:sz w:val="24"/>
        </w:rPr>
      </w:pPr>
      <w:r>
        <w:rPr>
          <w:sz w:val="24"/>
        </w:rPr>
      </w:r>
    </w:p>
    <w:p>
      <w:pPr>
        <w:pStyle w:val="Normal"/>
        <w:rPr/>
      </w:pPr>
      <w:r>
        <w:rPr>
          <w:sz w:val="24"/>
        </w:rPr>
        <w:t>The Greater Houston Partnership advocates enactment of the following civil justice reforms by the 77</w:t>
      </w:r>
      <w:r>
        <w:rPr>
          <w:sz w:val="24"/>
          <w:vertAlign w:val="superscript"/>
        </w:rPr>
        <w:t>th</w:t>
      </w:r>
      <w:r>
        <w:rPr>
          <w:sz w:val="24"/>
        </w:rPr>
        <w:t xml:space="preserve"> Texas Legislature.  The Partnership also encourages Texans for Lawsuit Reform and the Texas Civil Justice League to combine their agendas so as to present a unified group of proposals in the next legislative session. </w:t>
      </w:r>
    </w:p>
    <w:p>
      <w:pPr>
        <w:pStyle w:val="Normal"/>
        <w:rPr>
          <w:sz w:val="24"/>
        </w:rPr>
      </w:pPr>
      <w:r>
        <w:rPr>
          <w:sz w:val="24"/>
        </w:rPr>
      </w:r>
    </w:p>
    <w:p>
      <w:pPr>
        <w:pStyle w:val="Normal"/>
        <w:rPr>
          <w:b/>
          <w:sz w:val="24"/>
        </w:rPr>
      </w:pPr>
      <w:r>
        <w:rPr>
          <w:sz w:val="24"/>
        </w:rPr>
        <w:t>Recommended reforms include:</w:t>
      </w:r>
    </w:p>
    <w:p>
      <w:pPr>
        <w:pStyle w:val="Normal"/>
        <w:rPr>
          <w:b/>
          <w:sz w:val="24"/>
        </w:rPr>
      </w:pPr>
      <w:r>
        <w:rPr>
          <w:b/>
          <w:sz w:val="24"/>
        </w:rPr>
      </w:r>
    </w:p>
    <w:p>
      <w:pPr>
        <w:pStyle w:val="Normal"/>
        <w:numPr>
          <w:ilvl w:val="0"/>
          <w:numId w:val="28"/>
        </w:numPr>
        <w:rPr>
          <w:sz w:val="24"/>
        </w:rPr>
      </w:pPr>
      <w:r>
        <w:rPr>
          <w:sz w:val="24"/>
        </w:rPr>
        <w:t>Curb the abuse of class action lawsuits;</w:t>
      </w:r>
    </w:p>
    <w:p>
      <w:pPr>
        <w:pStyle w:val="Normal"/>
        <w:numPr>
          <w:ilvl w:val="0"/>
          <w:numId w:val="28"/>
        </w:numPr>
        <w:rPr>
          <w:sz w:val="24"/>
        </w:rPr>
      </w:pPr>
      <w:r>
        <w:rPr>
          <w:sz w:val="24"/>
        </w:rPr>
        <w:t>Enable juries to assign fault to all responsible parties;</w:t>
      </w:r>
    </w:p>
    <w:p>
      <w:pPr>
        <w:pStyle w:val="Normal"/>
        <w:numPr>
          <w:ilvl w:val="0"/>
          <w:numId w:val="28"/>
        </w:numPr>
        <w:rPr>
          <w:sz w:val="24"/>
        </w:rPr>
      </w:pPr>
      <w:r>
        <w:rPr>
          <w:sz w:val="24"/>
        </w:rPr>
        <w:t>Impose liability on a property owner for third party criminal acts only when the owner is grossly negligent;</w:t>
      </w:r>
    </w:p>
    <w:p>
      <w:pPr>
        <w:pStyle w:val="Normal"/>
        <w:numPr>
          <w:ilvl w:val="0"/>
          <w:numId w:val="28"/>
        </w:numPr>
        <w:rPr>
          <w:sz w:val="24"/>
        </w:rPr>
      </w:pPr>
      <w:r>
        <w:rPr>
          <w:sz w:val="24"/>
        </w:rPr>
        <w:t>Prohibit interest from being unfairly assessed on damages not yet incurred;</w:t>
      </w:r>
    </w:p>
    <w:p>
      <w:pPr>
        <w:pStyle w:val="Normal"/>
        <w:numPr>
          <w:ilvl w:val="0"/>
          <w:numId w:val="28"/>
        </w:numPr>
        <w:rPr>
          <w:sz w:val="24"/>
        </w:rPr>
      </w:pPr>
      <w:r>
        <w:rPr>
          <w:sz w:val="24"/>
        </w:rPr>
        <w:t>Adopt an Offer of Settlement Rule;</w:t>
      </w:r>
    </w:p>
    <w:p>
      <w:pPr>
        <w:pStyle w:val="Normal"/>
        <w:numPr>
          <w:ilvl w:val="0"/>
          <w:numId w:val="28"/>
        </w:numPr>
        <w:rPr>
          <w:sz w:val="24"/>
        </w:rPr>
      </w:pPr>
      <w:r>
        <w:rPr>
          <w:sz w:val="24"/>
        </w:rPr>
        <w:t>Ban irresponsible drivers from suing for non-economic damages;</w:t>
      </w:r>
    </w:p>
    <w:p>
      <w:pPr>
        <w:pStyle w:val="Normal"/>
        <w:numPr>
          <w:ilvl w:val="0"/>
          <w:numId w:val="28"/>
        </w:numPr>
        <w:rPr>
          <w:sz w:val="24"/>
        </w:rPr>
      </w:pPr>
      <w:r>
        <w:rPr>
          <w:sz w:val="24"/>
        </w:rPr>
        <w:t>Limit contingency fees in quick settlements;</w:t>
      </w:r>
    </w:p>
    <w:p>
      <w:pPr>
        <w:pStyle w:val="Normal"/>
        <w:numPr>
          <w:ilvl w:val="0"/>
          <w:numId w:val="28"/>
        </w:numPr>
        <w:rPr>
          <w:sz w:val="24"/>
        </w:rPr>
      </w:pPr>
      <w:r>
        <w:rPr>
          <w:sz w:val="24"/>
        </w:rPr>
        <w:t>Prevent double recoveries by persons who sue third parties after collecting workers’ compensation from their employer;</w:t>
      </w:r>
    </w:p>
    <w:p>
      <w:pPr>
        <w:pStyle w:val="Normal"/>
        <w:numPr>
          <w:ilvl w:val="0"/>
          <w:numId w:val="28"/>
        </w:numPr>
        <w:rPr>
          <w:sz w:val="24"/>
        </w:rPr>
      </w:pPr>
      <w:r>
        <w:rPr>
          <w:sz w:val="24"/>
        </w:rPr>
        <w:t>Cap multiple awards of punitive damages against the same defendant arising out of the same act;</w:t>
      </w:r>
    </w:p>
    <w:p>
      <w:pPr>
        <w:pStyle w:val="Normal"/>
        <w:numPr>
          <w:ilvl w:val="0"/>
          <w:numId w:val="28"/>
        </w:numPr>
        <w:rPr>
          <w:sz w:val="24"/>
        </w:rPr>
      </w:pPr>
      <w:r>
        <w:rPr>
          <w:sz w:val="24"/>
        </w:rPr>
        <w:t>Develop a system that encourages plaintiffs to accept fair settlement offers and avoid unnecessary trials;</w:t>
      </w:r>
    </w:p>
    <w:p>
      <w:pPr>
        <w:pStyle w:val="Normal"/>
        <w:numPr>
          <w:ilvl w:val="0"/>
          <w:numId w:val="28"/>
        </w:numPr>
        <w:rPr>
          <w:sz w:val="24"/>
        </w:rPr>
      </w:pPr>
      <w:r>
        <w:rPr>
          <w:sz w:val="24"/>
        </w:rPr>
        <w:t>Reform the judicial selection and campaign finance reform processes, and seek more funding for the court system;</w:t>
      </w:r>
    </w:p>
    <w:p>
      <w:pPr>
        <w:pStyle w:val="Normal"/>
        <w:numPr>
          <w:ilvl w:val="0"/>
          <w:numId w:val="28"/>
        </w:numPr>
        <w:rPr>
          <w:sz w:val="24"/>
        </w:rPr>
      </w:pPr>
      <w:r>
        <w:rPr>
          <w:sz w:val="24"/>
        </w:rPr>
        <w:t>Improve the product liability reform law;</w:t>
      </w:r>
    </w:p>
    <w:p>
      <w:pPr>
        <w:pStyle w:val="Normal"/>
        <w:numPr>
          <w:ilvl w:val="0"/>
          <w:numId w:val="28"/>
        </w:numPr>
        <w:rPr>
          <w:sz w:val="24"/>
        </w:rPr>
      </w:pPr>
      <w:r>
        <w:rPr>
          <w:sz w:val="24"/>
        </w:rPr>
        <w:t>Strengthen the government standards defense, and</w:t>
      </w:r>
    </w:p>
    <w:p>
      <w:pPr>
        <w:pStyle w:val="Normal"/>
        <w:numPr>
          <w:ilvl w:val="0"/>
          <w:numId w:val="28"/>
        </w:numPr>
        <w:rPr>
          <w:sz w:val="24"/>
        </w:rPr>
      </w:pPr>
      <w:r>
        <w:rPr>
          <w:sz w:val="24"/>
        </w:rPr>
        <w:t>Clarify the toxic tort definition.</w:t>
      </w:r>
    </w:p>
    <w:p>
      <w:pPr>
        <w:pStyle w:val="Normal"/>
        <w:rPr>
          <w:sz w:val="24"/>
        </w:rPr>
      </w:pPr>
      <w:r>
        <w:rPr>
          <w:sz w:val="24"/>
        </w:rPr>
      </w:r>
    </w:p>
    <w:p>
      <w:pPr>
        <w:pStyle w:val="Normal"/>
        <w:rPr>
          <w:sz w:val="24"/>
        </w:rPr>
      </w:pPr>
      <w:r>
        <w:rPr>
          <w:sz w:val="24"/>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bottom w:val="single" w:sz="6" w:space="0" w:color="000000"/>
            </w:tcBorders>
          </w:tcPr>
          <w:p>
            <w:pPr>
              <w:pStyle w:val="Normal"/>
              <w:snapToGrid w:val="false"/>
              <w:rPr>
                <w:sz w:val="24"/>
              </w:rPr>
            </w:pPr>
            <w:r>
              <w:rPr>
                <w:sz w:val="24"/>
              </w:rPr>
            </w:r>
          </w:p>
        </w:tc>
      </w:tr>
      <w:tr>
        <w:trPr/>
        <w:tc>
          <w:tcPr>
            <w:tcW w:w="4334" w:type="dxa"/>
            <w:tcBorders/>
          </w:tcPr>
          <w:p>
            <w:pPr>
              <w:pStyle w:val="Normal"/>
              <w:rPr>
                <w:sz w:val="24"/>
              </w:rPr>
            </w:pPr>
            <w:r>
              <w:rPr>
                <w:sz w:val="24"/>
              </w:rPr>
              <w:t>James R. Royer, Chairman</w:t>
            </w:r>
          </w:p>
        </w:tc>
        <w:tc>
          <w:tcPr>
            <w:tcW w:w="648" w:type="dxa"/>
            <w:tcBorders/>
          </w:tcPr>
          <w:p>
            <w:pPr>
              <w:pStyle w:val="Normal"/>
              <w:snapToGrid w:val="false"/>
              <w:rPr>
                <w:sz w:val="24"/>
              </w:rPr>
            </w:pPr>
            <w:r>
              <w:rPr>
                <w:sz w:val="24"/>
              </w:rPr>
            </w:r>
          </w:p>
        </w:tc>
        <w:tc>
          <w:tcPr>
            <w:tcW w:w="4320" w:type="dxa"/>
            <w:tcBorders/>
          </w:tcPr>
          <w:p>
            <w:pPr>
              <w:pStyle w:val="Normal"/>
              <w:rPr>
                <w:sz w:val="24"/>
              </w:rPr>
            </w:pPr>
            <w:r>
              <w:rPr>
                <w:sz w:val="24"/>
              </w:rPr>
              <w:t>Jim C. Kollaer, President &amp; CEO</w:t>
            </w:r>
          </w:p>
        </w:tc>
      </w:tr>
    </w:tbl>
    <w:p>
      <w:pPr>
        <w:pStyle w:val="Normal"/>
        <w:rPr>
          <w:sz w:val="24"/>
        </w:rPr>
      </w:pPr>
      <w:r>
        <w:rPr>
          <w:sz w:val="24"/>
        </w:rPr>
      </w:r>
    </w:p>
    <w:p>
      <w:pPr>
        <w:pStyle w:val="Normal"/>
        <w:rPr>
          <w:sz w:val="24"/>
        </w:rPr>
      </w:pPr>
      <w:r>
        <w:rPr>
          <w:sz w:val="24"/>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sz w:val="24"/>
              </w:rPr>
            </w:pPr>
            <w:r>
              <w:rPr>
                <w:sz w:val="24"/>
              </w:rPr>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r>
        <w:trPr/>
        <w:tc>
          <w:tcPr>
            <w:tcW w:w="4334" w:type="dxa"/>
            <w:tcBorders/>
          </w:tcPr>
          <w:p>
            <w:pPr>
              <w:pStyle w:val="Normal"/>
              <w:rPr>
                <w:sz w:val="24"/>
              </w:rPr>
            </w:pPr>
            <w:r>
              <w:rPr>
                <w:sz w:val="24"/>
              </w:rPr>
              <w:t>R. Bruce LaBoon, Secretary</w:t>
            </w:r>
          </w:p>
        </w:tc>
        <w:tc>
          <w:tcPr>
            <w:tcW w:w="648" w:type="dxa"/>
            <w:tcBorders/>
          </w:tcPr>
          <w:p>
            <w:pPr>
              <w:pStyle w:val="Normal"/>
              <w:snapToGrid w:val="false"/>
              <w:rPr>
                <w:sz w:val="24"/>
              </w:rPr>
            </w:pPr>
            <w:r>
              <w:rPr>
                <w:sz w:val="24"/>
              </w:rPr>
            </w:r>
          </w:p>
        </w:tc>
        <w:tc>
          <w:tcPr>
            <w:tcW w:w="4320" w:type="dxa"/>
            <w:tcBorders/>
          </w:tcPr>
          <w:p>
            <w:pPr>
              <w:pStyle w:val="Normal"/>
              <w:snapToGrid w:val="false"/>
              <w:rPr>
                <w:sz w:val="24"/>
              </w:rPr>
            </w:pPr>
            <w:r>
              <w:rPr>
                <w:sz w:val="24"/>
              </w:rPr>
            </w:r>
          </w:p>
        </w:tc>
      </w:tr>
    </w:tbl>
    <w:p>
      <w:pPr>
        <w:pStyle w:val="Normal"/>
        <w:rPr>
          <w:sz w:val="24"/>
        </w:rPr>
      </w:pPr>
      <w:r>
        <w:rPr>
          <w:sz w:val="24"/>
        </w:rPr>
      </w:r>
      <w:r>
        <w:br w:type="page"/>
      </w:r>
    </w:p>
    <w:p>
      <w:pPr>
        <w:pStyle w:val="Heading1"/>
        <w:ind w:hanging="0" w:start="0"/>
        <w:rPr>
          <w:sz w:val="28"/>
        </w:rPr>
      </w:pPr>
      <w:r>
        <w:rPr>
          <w:sz w:val="28"/>
        </w:rPr>
        <w:t>MEMORANDUM</w:t>
      </w:r>
    </w:p>
    <w:p>
      <w:pPr>
        <w:pStyle w:val="Normal"/>
        <w:rPr>
          <w:sz w:val="28"/>
        </w:rPr>
      </w:pPr>
      <w:r>
        <w:rPr>
          <w:sz w:val="28"/>
        </w:rPr>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sz w:val="24"/>
              </w:rPr>
            </w:pPr>
            <w:r>
              <w:rPr>
                <w:b/>
                <w:sz w:val="24"/>
              </w:rPr>
              <w:t>DATE:</w:t>
            </w:r>
          </w:p>
        </w:tc>
        <w:tc>
          <w:tcPr>
            <w:tcW w:w="7656" w:type="dxa"/>
            <w:tcBorders/>
          </w:tcPr>
          <w:p>
            <w:pPr>
              <w:pStyle w:val="Normal"/>
              <w:rPr>
                <w:sz w:val="24"/>
              </w:rPr>
            </w:pPr>
            <w:r>
              <w:rPr>
                <w:sz w:val="24"/>
              </w:rPr>
              <w:t>November 7, 2000</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TO:</w:t>
            </w:r>
          </w:p>
        </w:tc>
        <w:tc>
          <w:tcPr>
            <w:tcW w:w="7656" w:type="dxa"/>
            <w:tcBorders/>
          </w:tcPr>
          <w:p>
            <w:pPr>
              <w:pStyle w:val="Normal"/>
              <w:rPr>
                <w:sz w:val="24"/>
              </w:rPr>
            </w:pPr>
            <w:r>
              <w:rPr>
                <w:sz w:val="24"/>
              </w:rPr>
              <w:t>Board of Directors</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FROM:</w:t>
            </w:r>
          </w:p>
        </w:tc>
        <w:tc>
          <w:tcPr>
            <w:tcW w:w="7656" w:type="dxa"/>
            <w:tcBorders/>
          </w:tcPr>
          <w:p>
            <w:pPr>
              <w:pStyle w:val="Normal"/>
              <w:rPr>
                <w:sz w:val="24"/>
              </w:rPr>
            </w:pPr>
            <w:r>
              <w:rPr>
                <w:sz w:val="24"/>
              </w:rPr>
              <w:t>Charles McMahen, Chairman</w:t>
            </w:r>
          </w:p>
          <w:p>
            <w:pPr>
              <w:pStyle w:val="Normal"/>
              <w:rPr>
                <w:sz w:val="24"/>
              </w:rPr>
            </w:pPr>
            <w:r>
              <w:rPr>
                <w:sz w:val="24"/>
              </w:rPr>
              <w:t>Business Issues Advisory Committee</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SUBJECT:</w:t>
            </w:r>
          </w:p>
        </w:tc>
        <w:tc>
          <w:tcPr>
            <w:tcW w:w="7656" w:type="dxa"/>
            <w:tcBorders/>
          </w:tcPr>
          <w:p>
            <w:pPr>
              <w:pStyle w:val="Normal"/>
              <w:rPr>
                <w:sz w:val="24"/>
              </w:rPr>
            </w:pPr>
            <w:r>
              <w:rPr>
                <w:sz w:val="24"/>
              </w:rPr>
              <w:t>Position in Support of Tort Reform</w:t>
            </w:r>
          </w:p>
        </w:tc>
      </w:tr>
    </w:tbl>
    <w:p>
      <w:pPr>
        <w:pStyle w:val="Normal"/>
        <w:pBdr>
          <w:bottom w:val="single" w:sz="6" w:space="1" w:color="000000"/>
        </w:pBdr>
        <w:tabs>
          <w:tab w:val="clear" w:pos="720"/>
          <w:tab w:val="left" w:pos="1440" w:leader="none"/>
        </w:tabs>
        <w:rPr>
          <w:sz w:val="24"/>
        </w:rPr>
      </w:pPr>
      <w:r>
        <w:rPr>
          <w:sz w:val="24"/>
        </w:rPr>
      </w:r>
    </w:p>
    <w:p>
      <w:pPr>
        <w:pStyle w:val="Normal"/>
        <w:pBdr>
          <w:bottom w:val="single" w:sz="6" w:space="1" w:color="000000"/>
        </w:pBdr>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tabs>
          <w:tab w:val="clear" w:pos="720"/>
          <w:tab w:val="left" w:pos="1440" w:leader="none"/>
        </w:tabs>
        <w:rPr>
          <w:b/>
          <w:sz w:val="24"/>
        </w:rPr>
      </w:pPr>
      <w:r>
        <w:rPr>
          <w:b/>
          <w:sz w:val="24"/>
        </w:rPr>
        <w:t>RECOMMENDATION</w:t>
      </w:r>
    </w:p>
    <w:p>
      <w:pPr>
        <w:pStyle w:val="Normal"/>
        <w:tabs>
          <w:tab w:val="clear" w:pos="720"/>
          <w:tab w:val="left" w:pos="1440" w:leader="none"/>
        </w:tabs>
        <w:rPr>
          <w:b/>
          <w:sz w:val="24"/>
        </w:rPr>
      </w:pPr>
      <w:r>
        <w:rPr>
          <w:b/>
          <w:sz w:val="24"/>
        </w:rPr>
      </w:r>
    </w:p>
    <w:p>
      <w:pPr>
        <w:pStyle w:val="Normal"/>
        <w:rPr/>
      </w:pPr>
      <w:r>
        <w:rPr>
          <w:sz w:val="24"/>
        </w:rPr>
        <w:t>The Greater Houston Partnership advocates enactment of the following civil justice reforms by the 77</w:t>
      </w:r>
      <w:r>
        <w:rPr>
          <w:sz w:val="24"/>
          <w:vertAlign w:val="superscript"/>
        </w:rPr>
        <w:t>th</w:t>
      </w:r>
      <w:r>
        <w:rPr>
          <w:sz w:val="24"/>
        </w:rPr>
        <w:t xml:space="preserve"> Texas Legislature.  The Partnership also encourages Texans for Lawsuit Reform and the Texas Civil Justice League to combine their agendas so as to present a unified group of proposals in the next legislative session. </w:t>
      </w:r>
    </w:p>
    <w:p>
      <w:pPr>
        <w:pStyle w:val="Normal"/>
        <w:rPr>
          <w:sz w:val="24"/>
        </w:rPr>
      </w:pPr>
      <w:r>
        <w:rPr>
          <w:sz w:val="24"/>
        </w:rPr>
      </w:r>
    </w:p>
    <w:p>
      <w:pPr>
        <w:pStyle w:val="Normal"/>
        <w:rPr>
          <w:b/>
          <w:sz w:val="24"/>
        </w:rPr>
      </w:pPr>
      <w:r>
        <w:rPr>
          <w:sz w:val="24"/>
        </w:rPr>
        <w:t>Recommended reforms include:</w:t>
      </w:r>
    </w:p>
    <w:p>
      <w:pPr>
        <w:pStyle w:val="Normal"/>
        <w:rPr>
          <w:b/>
          <w:sz w:val="24"/>
        </w:rPr>
      </w:pPr>
      <w:r>
        <w:rPr>
          <w:b/>
          <w:sz w:val="24"/>
        </w:rPr>
      </w:r>
    </w:p>
    <w:p>
      <w:pPr>
        <w:pStyle w:val="Normal"/>
        <w:numPr>
          <w:ilvl w:val="0"/>
          <w:numId w:val="27"/>
        </w:numPr>
        <w:rPr>
          <w:sz w:val="24"/>
        </w:rPr>
      </w:pPr>
      <w:r>
        <w:rPr>
          <w:sz w:val="24"/>
        </w:rPr>
        <w:t>Curb the abuse of class action lawsuits;</w:t>
      </w:r>
    </w:p>
    <w:p>
      <w:pPr>
        <w:pStyle w:val="Normal"/>
        <w:numPr>
          <w:ilvl w:val="0"/>
          <w:numId w:val="27"/>
        </w:numPr>
        <w:rPr>
          <w:sz w:val="24"/>
        </w:rPr>
      </w:pPr>
      <w:r>
        <w:rPr>
          <w:sz w:val="24"/>
        </w:rPr>
        <w:t>Enable juries to assign fault to all responsible parties;</w:t>
      </w:r>
    </w:p>
    <w:p>
      <w:pPr>
        <w:pStyle w:val="Normal"/>
        <w:numPr>
          <w:ilvl w:val="0"/>
          <w:numId w:val="27"/>
        </w:numPr>
        <w:rPr>
          <w:sz w:val="24"/>
        </w:rPr>
      </w:pPr>
      <w:r>
        <w:rPr>
          <w:sz w:val="24"/>
        </w:rPr>
        <w:t>Impose liability on a property owner for third party criminal acts only when the owner is grossly negligent;</w:t>
      </w:r>
    </w:p>
    <w:p>
      <w:pPr>
        <w:pStyle w:val="Normal"/>
        <w:numPr>
          <w:ilvl w:val="0"/>
          <w:numId w:val="27"/>
        </w:numPr>
        <w:rPr>
          <w:sz w:val="24"/>
        </w:rPr>
      </w:pPr>
      <w:r>
        <w:rPr>
          <w:sz w:val="24"/>
        </w:rPr>
        <w:t>Prohibit interest from being unfairly assessed on damages not yet incurred;</w:t>
      </w:r>
    </w:p>
    <w:p>
      <w:pPr>
        <w:pStyle w:val="Normal"/>
        <w:numPr>
          <w:ilvl w:val="0"/>
          <w:numId w:val="27"/>
        </w:numPr>
        <w:rPr>
          <w:sz w:val="24"/>
        </w:rPr>
      </w:pPr>
      <w:r>
        <w:rPr>
          <w:sz w:val="24"/>
        </w:rPr>
        <w:t>Adopt an Offer of Settlement Rule;</w:t>
      </w:r>
    </w:p>
    <w:p>
      <w:pPr>
        <w:pStyle w:val="Normal"/>
        <w:numPr>
          <w:ilvl w:val="0"/>
          <w:numId w:val="27"/>
        </w:numPr>
        <w:rPr>
          <w:sz w:val="24"/>
        </w:rPr>
      </w:pPr>
      <w:r>
        <w:rPr>
          <w:sz w:val="24"/>
        </w:rPr>
        <w:t>Ban irresponsible drivers from suing for non-economic damages;</w:t>
      </w:r>
    </w:p>
    <w:p>
      <w:pPr>
        <w:pStyle w:val="Normal"/>
        <w:numPr>
          <w:ilvl w:val="0"/>
          <w:numId w:val="27"/>
        </w:numPr>
        <w:rPr>
          <w:sz w:val="24"/>
        </w:rPr>
      </w:pPr>
      <w:r>
        <w:rPr>
          <w:sz w:val="24"/>
        </w:rPr>
        <w:t>Limit contingency fees in quick settlements;</w:t>
      </w:r>
    </w:p>
    <w:p>
      <w:pPr>
        <w:pStyle w:val="Normal"/>
        <w:numPr>
          <w:ilvl w:val="0"/>
          <w:numId w:val="27"/>
        </w:numPr>
        <w:rPr>
          <w:sz w:val="24"/>
        </w:rPr>
      </w:pPr>
      <w:r>
        <w:rPr>
          <w:sz w:val="24"/>
        </w:rPr>
        <w:t>Prevent double recoveries by persons who sue third parties after collecting workers’ compensation from their employer;</w:t>
      </w:r>
    </w:p>
    <w:p>
      <w:pPr>
        <w:pStyle w:val="Normal"/>
        <w:numPr>
          <w:ilvl w:val="0"/>
          <w:numId w:val="27"/>
        </w:numPr>
        <w:rPr>
          <w:sz w:val="24"/>
        </w:rPr>
      </w:pPr>
      <w:r>
        <w:rPr>
          <w:sz w:val="24"/>
        </w:rPr>
        <w:t>Cap multiple awards of punitive damages against the same defendant arising out of the same act;</w:t>
      </w:r>
    </w:p>
    <w:p>
      <w:pPr>
        <w:pStyle w:val="Normal"/>
        <w:numPr>
          <w:ilvl w:val="0"/>
          <w:numId w:val="27"/>
        </w:numPr>
        <w:rPr>
          <w:sz w:val="24"/>
        </w:rPr>
      </w:pPr>
      <w:r>
        <w:rPr>
          <w:sz w:val="24"/>
        </w:rPr>
        <w:t>Develop a system that encourages plaintiffs to accept fair settlement offers and avoid unnecessary trials;</w:t>
      </w:r>
    </w:p>
    <w:p>
      <w:pPr>
        <w:pStyle w:val="Normal"/>
        <w:numPr>
          <w:ilvl w:val="0"/>
          <w:numId w:val="27"/>
        </w:numPr>
        <w:rPr>
          <w:sz w:val="24"/>
        </w:rPr>
      </w:pPr>
      <w:r>
        <w:rPr>
          <w:sz w:val="24"/>
        </w:rPr>
        <w:t>Reform the judicial selection and campaign finance reform processes, and seek more funding for the court system;</w:t>
      </w:r>
    </w:p>
    <w:p>
      <w:pPr>
        <w:pStyle w:val="Normal"/>
        <w:numPr>
          <w:ilvl w:val="0"/>
          <w:numId w:val="27"/>
        </w:numPr>
        <w:rPr>
          <w:sz w:val="24"/>
        </w:rPr>
      </w:pPr>
      <w:r>
        <w:rPr>
          <w:sz w:val="24"/>
        </w:rPr>
        <w:t>Improve the product liability reform law;</w:t>
      </w:r>
    </w:p>
    <w:p>
      <w:pPr>
        <w:pStyle w:val="Normal"/>
        <w:numPr>
          <w:ilvl w:val="0"/>
          <w:numId w:val="27"/>
        </w:numPr>
        <w:rPr>
          <w:sz w:val="24"/>
        </w:rPr>
      </w:pPr>
      <w:r>
        <w:rPr>
          <w:sz w:val="24"/>
        </w:rPr>
        <w:t>Strengthen the government standards defense, and</w:t>
      </w:r>
    </w:p>
    <w:p>
      <w:pPr>
        <w:pStyle w:val="Normal"/>
        <w:numPr>
          <w:ilvl w:val="0"/>
          <w:numId w:val="27"/>
        </w:numPr>
        <w:rPr>
          <w:sz w:val="24"/>
        </w:rPr>
      </w:pPr>
      <w:r>
        <w:rPr>
          <w:sz w:val="24"/>
        </w:rPr>
        <w:t>Clarify the toxic tort definition.</w:t>
      </w:r>
      <w:r>
        <w:br w:type="page"/>
      </w:r>
    </w:p>
    <w:p>
      <w:pPr>
        <w:pStyle w:val="Normal"/>
        <w:numPr>
          <w:ilvl w:val="0"/>
          <w:numId w:val="0"/>
        </w:numPr>
        <w:ind w:hanging="0" w:start="0"/>
        <w:rPr>
          <w:sz w:val="24"/>
        </w:rPr>
      </w:pPr>
      <w:r>
        <w:rPr>
          <w:sz w:val="24"/>
        </w:rPr>
      </w:r>
    </w:p>
    <w:p>
      <w:pPr>
        <w:pStyle w:val="Normal"/>
        <w:numPr>
          <w:ilvl w:val="0"/>
          <w:numId w:val="0"/>
        </w:numPr>
        <w:tabs>
          <w:tab w:val="clear" w:pos="720"/>
          <w:tab w:val="left" w:pos="1440" w:leader="none"/>
        </w:tabs>
        <w:ind w:hanging="0" w:start="0"/>
        <w:rPr>
          <w:b/>
          <w:sz w:val="24"/>
        </w:rPr>
      </w:pPr>
      <w:r>
        <w:rPr>
          <w:b/>
          <w:sz w:val="24"/>
        </w:rPr>
      </w:r>
    </w:p>
    <w:p>
      <w:pPr>
        <w:pStyle w:val="Normal"/>
        <w:numPr>
          <w:ilvl w:val="0"/>
          <w:numId w:val="0"/>
        </w:numPr>
        <w:tabs>
          <w:tab w:val="clear" w:pos="720"/>
          <w:tab w:val="left" w:pos="1440" w:leader="none"/>
        </w:tabs>
        <w:ind w:hanging="0" w:start="0"/>
        <w:rPr>
          <w:b/>
          <w:sz w:val="24"/>
        </w:rPr>
      </w:pPr>
      <w:r>
        <w:rPr>
          <w:b/>
          <w:sz w:val="24"/>
        </w:rPr>
        <w:t>BACKGROUND</w:t>
      </w:r>
    </w:p>
    <w:p>
      <w:pPr>
        <w:pStyle w:val="Normal"/>
        <w:numPr>
          <w:ilvl w:val="0"/>
          <w:numId w:val="0"/>
        </w:numPr>
        <w:tabs>
          <w:tab w:val="clear" w:pos="720"/>
          <w:tab w:val="left" w:pos="1440" w:leader="none"/>
        </w:tabs>
        <w:ind w:hanging="0" w:start="0"/>
        <w:rPr>
          <w:b/>
          <w:sz w:val="24"/>
        </w:rPr>
      </w:pPr>
      <w:r>
        <w:rPr>
          <w:b/>
          <w:sz w:val="24"/>
        </w:rPr>
      </w:r>
    </w:p>
    <w:p>
      <w:pPr>
        <w:pStyle w:val="Normal"/>
        <w:numPr>
          <w:ilvl w:val="0"/>
          <w:numId w:val="0"/>
        </w:numPr>
        <w:tabs>
          <w:tab w:val="clear" w:pos="720"/>
          <w:tab w:val="left" w:pos="1440" w:leader="none"/>
        </w:tabs>
        <w:ind w:hanging="0" w:start="0"/>
        <w:rPr>
          <w:sz w:val="24"/>
        </w:rPr>
      </w:pPr>
      <w:r>
        <w:rPr>
          <w:sz w:val="24"/>
        </w:rPr>
        <w:t>The civil justice system is the foundation upon which a society builds its structure for resolving disputes in social and commercial activities.  It is important that the laws be written and administered in a manner that is fair, evenhanded and predictable.  The law, when applied in transactions involving a business, should not favor either the plaintiff or the defendant.  It is within this context that the Greater Houston Partnership and other business groups have advocated for a balanced civil justice system.</w:t>
      </w:r>
    </w:p>
    <w:p>
      <w:pPr>
        <w:pStyle w:val="Normal"/>
        <w:numPr>
          <w:ilvl w:val="0"/>
          <w:numId w:val="0"/>
        </w:numPr>
        <w:tabs>
          <w:tab w:val="clear" w:pos="720"/>
          <w:tab w:val="left" w:pos="1440" w:leader="none"/>
        </w:tabs>
        <w:ind w:hanging="0" w:start="0"/>
        <w:rPr>
          <w:sz w:val="24"/>
        </w:rPr>
      </w:pPr>
      <w:r>
        <w:rPr>
          <w:sz w:val="24"/>
        </w:rPr>
      </w:r>
    </w:p>
    <w:p>
      <w:pPr>
        <w:pStyle w:val="Normal"/>
        <w:numPr>
          <w:ilvl w:val="0"/>
          <w:numId w:val="0"/>
        </w:numPr>
        <w:tabs>
          <w:tab w:val="clear" w:pos="720"/>
          <w:tab w:val="left" w:pos="1440" w:leader="none"/>
        </w:tabs>
        <w:ind w:hanging="0" w:start="0"/>
        <w:rPr>
          <w:sz w:val="24"/>
        </w:rPr>
      </w:pPr>
      <w:r>
        <w:rPr>
          <w:sz w:val="24"/>
        </w:rPr>
        <w:t xml:space="preserve">The Legislature has made significant strides in previous sessions towards the goal of ensuring that the civil justice system in Texas is fair and even handed to all litigants.  Legislation is still needed, however, to further balance the rights of plaintiffs and the ability of businesses to defend themselves against frivolous lawsuits.  Maintaining the reforms already achieved is equally important.  Opponents of tort reform are seeking to repeal the major reform achievements of the 1990s. </w:t>
      </w:r>
    </w:p>
    <w:p>
      <w:pPr>
        <w:pStyle w:val="Normal"/>
        <w:numPr>
          <w:ilvl w:val="0"/>
          <w:numId w:val="0"/>
        </w:numPr>
        <w:tabs>
          <w:tab w:val="clear" w:pos="720"/>
          <w:tab w:val="left" w:pos="1440" w:leader="none"/>
        </w:tabs>
        <w:ind w:hanging="0" w:start="0"/>
        <w:rPr>
          <w:sz w:val="24"/>
        </w:rPr>
      </w:pPr>
      <w:r>
        <w:rPr>
          <w:sz w:val="24"/>
        </w:rPr>
      </w:r>
    </w:p>
    <w:p>
      <w:pPr>
        <w:pStyle w:val="Normal"/>
        <w:numPr>
          <w:ilvl w:val="0"/>
          <w:numId w:val="0"/>
        </w:numPr>
        <w:tabs>
          <w:tab w:val="clear" w:pos="720"/>
          <w:tab w:val="left" w:pos="1440" w:leader="none"/>
        </w:tabs>
        <w:ind w:hanging="0" w:start="0"/>
        <w:rPr>
          <w:sz w:val="24"/>
        </w:rPr>
      </w:pPr>
      <w:r>
        <w:rPr>
          <w:sz w:val="24"/>
        </w:rPr>
        <w:t>The Greater Houston Partnership supports the extensive legal research, political analysis position development, and legislative advocacy undertaken by Texans for Lawsuit Reform (TLR) and the Texas Civil Justice League (TCJL).  The Partnership has had a close working relationship with both organizations since their inception, and has historically supported their legislative programs.</w:t>
      </w:r>
    </w:p>
    <w:p>
      <w:pPr>
        <w:pStyle w:val="Normal"/>
        <w:numPr>
          <w:ilvl w:val="0"/>
          <w:numId w:val="0"/>
        </w:numPr>
        <w:tabs>
          <w:tab w:val="clear" w:pos="720"/>
          <w:tab w:val="left" w:pos="1440" w:leader="none"/>
        </w:tabs>
        <w:ind w:hanging="0" w:start="0"/>
        <w:rPr>
          <w:sz w:val="24"/>
        </w:rPr>
      </w:pPr>
      <w:r>
        <w:rPr>
          <w:sz w:val="24"/>
        </w:rPr>
      </w:r>
    </w:p>
    <w:p>
      <w:pPr>
        <w:pStyle w:val="Normal"/>
        <w:numPr>
          <w:ilvl w:val="0"/>
          <w:numId w:val="0"/>
        </w:numPr>
        <w:tabs>
          <w:tab w:val="clear" w:pos="720"/>
          <w:tab w:val="left" w:pos="1440" w:leader="none"/>
        </w:tabs>
        <w:ind w:hanging="0" w:start="0"/>
        <w:rPr>
          <w:sz w:val="24"/>
        </w:rPr>
      </w:pPr>
      <w:r>
        <w:rPr>
          <w:sz w:val="24"/>
        </w:rPr>
        <w:t>Recommended reforms include:</w:t>
      </w:r>
    </w:p>
    <w:p>
      <w:pPr>
        <w:pStyle w:val="Normal"/>
        <w:numPr>
          <w:ilvl w:val="0"/>
          <w:numId w:val="0"/>
        </w:numPr>
        <w:tabs>
          <w:tab w:val="clear" w:pos="720"/>
          <w:tab w:val="left" w:pos="1440" w:leader="none"/>
        </w:tabs>
        <w:ind w:hanging="0" w:start="0"/>
        <w:rPr>
          <w:sz w:val="24"/>
        </w:rPr>
      </w:pPr>
      <w:r>
        <w:rPr>
          <w:sz w:val="24"/>
        </w:rPr>
      </w:r>
    </w:p>
    <w:p>
      <w:pPr>
        <w:pStyle w:val="Normal"/>
        <w:numPr>
          <w:ilvl w:val="0"/>
          <w:numId w:val="27"/>
        </w:numPr>
        <w:rPr>
          <w:b/>
          <w:sz w:val="24"/>
        </w:rPr>
      </w:pPr>
      <w:r>
        <w:rPr>
          <w:b/>
          <w:sz w:val="24"/>
        </w:rPr>
        <w:t>Curb the Abuse of Class Action Lawsuits</w:t>
      </w:r>
    </w:p>
    <w:p>
      <w:pPr>
        <w:pStyle w:val="Normal"/>
        <w:numPr>
          <w:ilvl w:val="0"/>
          <w:numId w:val="0"/>
        </w:numPr>
        <w:ind w:hanging="0" w:start="0"/>
        <w:rPr>
          <w:b/>
          <w:sz w:val="24"/>
        </w:rPr>
      </w:pPr>
      <w:r>
        <w:rPr>
          <w:b/>
          <w:sz w:val="24"/>
        </w:rPr>
      </w:r>
    </w:p>
    <w:p>
      <w:pPr>
        <w:pStyle w:val="Normal"/>
        <w:numPr>
          <w:ilvl w:val="0"/>
          <w:numId w:val="0"/>
        </w:numPr>
        <w:ind w:hanging="0" w:start="0"/>
        <w:rPr/>
      </w:pPr>
      <w:r>
        <w:rPr>
          <w:sz w:val="24"/>
        </w:rPr>
        <w:t xml:space="preserve">Class action lawsuits are becoming more prevalent as a means to extort huge settlements, particularly from defendants who do not belong in the case and must “buy” their way out.  Moreover, the plaintiff’s lawyers use class actions to leverage millions of dollars in contingency fees, often with only minimal benefits to the members of the class.  Class actions may also deprive a truly injured party from receiving just compensation in an individual case.  In addition, Texas venue requirements should be strengthened to ensure that the recent </w:t>
      </w:r>
      <w:r>
        <w:rPr>
          <w:i/>
          <w:sz w:val="24"/>
        </w:rPr>
        <w:t>forum non conveniens</w:t>
      </w:r>
      <w:r>
        <w:rPr>
          <w:sz w:val="24"/>
        </w:rPr>
        <w:t xml:space="preserve"> reform is not circumvented by filing of nationwide class actions in Texas. </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Enable Juries to Assign Fault to all Responsible Parties</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In many lawsuits, the parties most at fault cannot even be considered by the jury.  For instance, when a crime is committed on the premises of a business, and the criminal is not caught, the criminal’s fault cannot even be considered by the jury in a civil case.  This leads to the unfair apportion of damages to other parties that may, when considering liability, have been only marginally at fault.</w:t>
      </w:r>
    </w:p>
    <w:p>
      <w:pPr>
        <w:pStyle w:val="Normal"/>
        <w:numPr>
          <w:ilvl w:val="0"/>
          <w:numId w:val="0"/>
        </w:numPr>
        <w:ind w:hanging="0" w:start="0"/>
        <w:rPr>
          <w:sz w:val="24"/>
        </w:rPr>
      </w:pPr>
      <w:r>
        <w:rPr>
          <w:sz w:val="24"/>
        </w:rPr>
      </w:r>
    </w:p>
    <w:p>
      <w:pPr>
        <w:pStyle w:val="Normal"/>
        <w:numPr>
          <w:ilvl w:val="0"/>
          <w:numId w:val="27"/>
        </w:numPr>
        <w:rPr>
          <w:b/>
          <w:sz w:val="24"/>
        </w:rPr>
      </w:pPr>
      <w:r>
        <w:rPr>
          <w:b/>
          <w:sz w:val="24"/>
        </w:rPr>
        <w:t>Impose Liability on a Property Owner for Third Party Criminal Acts Only if the Owner is Grossly Negligent</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Texas Law should not punish business owners for the criminal acts committed by third parties on the property unless the business owner had control over the conduct.   Business owners should only be held liable for third party criminal conduct if the owner is grossly negligent with respect to the conduct.   Further, the threats of claims that a landlord “should have done more” to prevent crime is driving retail businesses and better housing out of low income and high crime areas.  These neighborhoods need more homes and businesses rather than fewer.  A standard that punishes the landlord only when guilty of gross negligence would compensate true victims of a landlord’s fault without driving other landowners away.</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Prohibit Interest from being Unfairly Assessed on Damages Not Yet Incurred</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It is proper to charge a defendant interest on past damages, since if the plaintiff would have had the funds from the time the lawsuit was filed, the money would have been earning interest.  Charging interest on damages not yet incurred (so-called “future damages”), however, arbitrarily inflates jury awards.  Additionally, juries should be informed whenever pre-judgment interest is to be awarded.</w:t>
      </w:r>
    </w:p>
    <w:p>
      <w:pPr>
        <w:pStyle w:val="Normal"/>
        <w:numPr>
          <w:ilvl w:val="0"/>
          <w:numId w:val="0"/>
        </w:numPr>
        <w:ind w:hanging="0" w:start="0"/>
        <w:rPr>
          <w:b/>
          <w:sz w:val="24"/>
        </w:rPr>
      </w:pPr>
      <w:r>
        <w:rPr>
          <w:sz w:val="24"/>
        </w:rPr>
        <w:t xml:space="preserve"> </w:t>
      </w:r>
    </w:p>
    <w:p>
      <w:pPr>
        <w:pStyle w:val="Normal"/>
        <w:numPr>
          <w:ilvl w:val="0"/>
          <w:numId w:val="27"/>
        </w:numPr>
        <w:rPr>
          <w:b/>
          <w:sz w:val="24"/>
        </w:rPr>
      </w:pPr>
      <w:r>
        <w:rPr>
          <w:b/>
          <w:sz w:val="24"/>
        </w:rPr>
        <w:t>Adopt an Offer of Settlement Rule</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This Rule would shift costs to the party that refuses a reasonable settlement offer, thereby encouraging defendants and plaintiffs to craft fair settlements and avoid unnecessary trials.</w:t>
      </w:r>
    </w:p>
    <w:p>
      <w:pPr>
        <w:pStyle w:val="Normal"/>
        <w:numPr>
          <w:ilvl w:val="0"/>
          <w:numId w:val="0"/>
        </w:numPr>
        <w:ind w:hanging="0" w:start="0"/>
        <w:rPr>
          <w:b/>
          <w:sz w:val="24"/>
        </w:rPr>
      </w:pPr>
      <w:r>
        <w:rPr>
          <w:b/>
          <w:sz w:val="24"/>
        </w:rPr>
        <w:t xml:space="preserve"> </w:t>
      </w:r>
    </w:p>
    <w:p>
      <w:pPr>
        <w:pStyle w:val="Normal"/>
        <w:numPr>
          <w:ilvl w:val="0"/>
          <w:numId w:val="27"/>
        </w:numPr>
        <w:rPr>
          <w:b/>
          <w:sz w:val="24"/>
        </w:rPr>
      </w:pPr>
      <w:r>
        <w:rPr>
          <w:b/>
          <w:sz w:val="24"/>
        </w:rPr>
        <w:t>Ban Irresponsible Drivers from Suing for Non-Economic Damages</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Driving under the influence of drugs or alcohol, or driving without liability insurance should disqualify a person from seeking soft damages (pain and suffering, etc.) in auto accident lawsuits.</w:t>
      </w:r>
    </w:p>
    <w:p>
      <w:pPr>
        <w:pStyle w:val="Normal"/>
        <w:numPr>
          <w:ilvl w:val="0"/>
          <w:numId w:val="0"/>
        </w:numPr>
        <w:ind w:hanging="0" w:start="0"/>
        <w:rPr>
          <w:sz w:val="24"/>
        </w:rPr>
      </w:pPr>
      <w:r>
        <w:rPr>
          <w:sz w:val="24"/>
        </w:rPr>
      </w:r>
    </w:p>
    <w:p>
      <w:pPr>
        <w:pStyle w:val="Normal"/>
        <w:numPr>
          <w:ilvl w:val="0"/>
          <w:numId w:val="27"/>
        </w:numPr>
        <w:rPr>
          <w:b/>
          <w:sz w:val="24"/>
        </w:rPr>
      </w:pPr>
      <w:r>
        <w:rPr>
          <w:b/>
          <w:sz w:val="24"/>
        </w:rPr>
        <w:t>Limit Contingency Fees in Quick Settlements</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 xml:space="preserve">Injured parties in lawsuits usually receive less than 50% of the amount they win in court.  Some of that is taken in court fees, but the biggest segment is to plaintiff’s attorneys who typically take 33%-40%.  This occurs even in quick settlement cases where there was no trial and very few hours worked.  Hourly fee calculations in these cases can be in the tens of thousands of dollars per hour.  Limits on contingency fees in quick settlements will provide more fair compensation to the injured parties. </w:t>
      </w:r>
    </w:p>
    <w:p>
      <w:pPr>
        <w:pStyle w:val="Normal"/>
        <w:numPr>
          <w:ilvl w:val="0"/>
          <w:numId w:val="0"/>
        </w:numPr>
        <w:ind w:hanging="0" w:start="0"/>
        <w:rPr>
          <w:b/>
          <w:sz w:val="24"/>
        </w:rPr>
      </w:pPr>
      <w:r>
        <w:rPr>
          <w:b/>
          <w:sz w:val="24"/>
        </w:rPr>
      </w:r>
    </w:p>
    <w:p>
      <w:pPr>
        <w:pStyle w:val="Normal"/>
        <w:numPr>
          <w:ilvl w:val="0"/>
          <w:numId w:val="27"/>
        </w:numPr>
        <w:rPr>
          <w:sz w:val="24"/>
        </w:rPr>
      </w:pPr>
      <w:r>
        <w:rPr>
          <w:b/>
          <w:sz w:val="24"/>
        </w:rPr>
        <w:t>Prevent Double Recoveries By Persons Who Sue Third Parties After Collecting Workers’ Compensation from their Employer</w:t>
      </w:r>
    </w:p>
    <w:p>
      <w:pPr>
        <w:pStyle w:val="Normal"/>
        <w:numPr>
          <w:ilvl w:val="0"/>
          <w:numId w:val="0"/>
        </w:numPr>
        <w:ind w:hanging="0" w:start="0"/>
        <w:rPr>
          <w:sz w:val="24"/>
        </w:rPr>
      </w:pPr>
      <w:r>
        <w:rPr>
          <w:sz w:val="24"/>
        </w:rPr>
      </w:r>
    </w:p>
    <w:p>
      <w:pPr>
        <w:pStyle w:val="Normal"/>
        <w:numPr>
          <w:ilvl w:val="0"/>
          <w:numId w:val="0"/>
        </w:numPr>
        <w:tabs>
          <w:tab w:val="clear" w:pos="720"/>
          <w:tab w:val="left" w:pos="1440" w:leader="none"/>
        </w:tabs>
        <w:ind w:hanging="0" w:start="0"/>
        <w:rPr>
          <w:sz w:val="24"/>
        </w:rPr>
      </w:pPr>
      <w:r>
        <w:rPr>
          <w:sz w:val="24"/>
        </w:rPr>
        <w:t>Under current law, an employee who has collected workers’ compensation for injuries (and in turn agrees not to sue their employer for damages) will simply sue a host of other third parties, trying to collect again for the same injury.</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Cap Multiple Awards of Punitive Damages Against the Same Defendant Arising out of the Same Act</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Limits should be placed on multiple awards of punitive damages against the same defendant arising from the same act or course conduct.  Multiple awards of punitive damages punish a defendant repeatedly for a civil wrong (the criminal system only punishes once) and deplete a defendant’s ability to pay subsequent compensatory damage awards.</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Develop a System that Encourages Plaintiffs to Accept Fair Settlement Offers and Avoid Unnecessary Trials</w:t>
      </w:r>
    </w:p>
    <w:p>
      <w:pPr>
        <w:pStyle w:val="Normal"/>
        <w:numPr>
          <w:ilvl w:val="0"/>
          <w:numId w:val="0"/>
        </w:numPr>
        <w:ind w:hanging="0" w:start="0"/>
        <w:rPr>
          <w:b/>
          <w:sz w:val="24"/>
        </w:rPr>
      </w:pPr>
      <w:r>
        <w:rPr>
          <w:b/>
          <w:sz w:val="24"/>
        </w:rPr>
      </w:r>
    </w:p>
    <w:p>
      <w:pPr>
        <w:pStyle w:val="Normal"/>
        <w:numPr>
          <w:ilvl w:val="0"/>
          <w:numId w:val="0"/>
        </w:numPr>
        <w:ind w:hanging="0" w:start="0"/>
        <w:rPr>
          <w:b/>
          <w:sz w:val="24"/>
        </w:rPr>
      </w:pPr>
      <w:r>
        <w:rPr>
          <w:sz w:val="24"/>
        </w:rPr>
        <w:t xml:space="preserve">Victims of abusive litigation tactics should be allowed to recover expenses, including attorney’s fees, if the opponent rejects a settlement offer and then wins less or loses more after the trial.  The proposal would cover the litigation expenses incurred after the settlement offer was rejected.  This would force a party to bear the expenses caused by their decision to needlessly prolong a lawsuit. </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Reform the Judicial Selection and Campaign Finance Reform Process, and Seek More Funding for the Court System</w:t>
      </w:r>
    </w:p>
    <w:p>
      <w:pPr>
        <w:pStyle w:val="Normal"/>
        <w:numPr>
          <w:ilvl w:val="0"/>
          <w:numId w:val="0"/>
        </w:numPr>
        <w:ind w:hanging="0" w:start="0"/>
        <w:rPr>
          <w:b/>
          <w:sz w:val="24"/>
        </w:rPr>
      </w:pPr>
      <w:r>
        <w:rPr>
          <w:b/>
          <w:sz w:val="24"/>
        </w:rPr>
      </w:r>
    </w:p>
    <w:p>
      <w:pPr>
        <w:pStyle w:val="BodyText"/>
        <w:numPr>
          <w:ilvl w:val="0"/>
          <w:numId w:val="0"/>
        </w:numPr>
        <w:autoSpaceDE w:val="true"/>
        <w:ind w:hanging="0" w:start="0"/>
        <w:rPr>
          <w:b/>
          <w:szCs w:val="20"/>
        </w:rPr>
      </w:pPr>
      <w:r>
        <w:rPr>
          <w:szCs w:val="20"/>
        </w:rPr>
        <w:t xml:space="preserve">The method for selecting judges should be reformed.  Also the “purity test” should be developed to get the plaintiffs bar money out of campaigns as it is not fair for lawyers to fund the elections of judges.  </w:t>
      </w:r>
    </w:p>
    <w:p>
      <w:pPr>
        <w:pStyle w:val="Normal"/>
        <w:numPr>
          <w:ilvl w:val="0"/>
          <w:numId w:val="0"/>
        </w:numPr>
        <w:ind w:hanging="0" w:start="0"/>
        <w:rPr>
          <w:b/>
          <w:sz w:val="24"/>
          <w:szCs w:val="20"/>
        </w:rPr>
      </w:pPr>
      <w:r>
        <w:rPr>
          <w:b/>
          <w:sz w:val="24"/>
          <w:szCs w:val="20"/>
        </w:rPr>
      </w:r>
    </w:p>
    <w:p>
      <w:pPr>
        <w:pStyle w:val="Normal"/>
        <w:numPr>
          <w:ilvl w:val="0"/>
          <w:numId w:val="27"/>
        </w:numPr>
        <w:rPr>
          <w:b/>
          <w:sz w:val="24"/>
        </w:rPr>
      </w:pPr>
      <w:r>
        <w:rPr>
          <w:b/>
          <w:sz w:val="24"/>
        </w:rPr>
        <w:t>Improve the Product Liability Reform Law</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Although the legislature has enacted numerous reforms in recent sessions, some provisions of the law still discourage innovation and insist on impossible legal standards.   Reforms still needed include: reasonable common sense guidelines for product safety without penalizing manufacturers in lawsuits; the discouragement of lawsuits that are nothing more than legal fishing expeditions by requiring plaintiffs to support their claims early with expert testimony; and extend the current, 15 year statute of repose to all product liability cases.</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Strengthen the Government Standards Defense</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Before new drugs and pharmaceuticals may be prescribed for treatment, they must undergo a rigorous and protracted approval process by the Food and Drug administration.  However, even if a drug is approved by the FDA, a drug maker can still be held liable for punitive damages if someone is harmed by the drug.  The law should provide a defense against liability for punitive damages if a drug has been approved by the FDA.</w:t>
      </w:r>
    </w:p>
    <w:p>
      <w:pPr>
        <w:pStyle w:val="Normal"/>
        <w:numPr>
          <w:ilvl w:val="0"/>
          <w:numId w:val="0"/>
        </w:numPr>
        <w:ind w:hanging="0" w:start="0"/>
        <w:rPr>
          <w:b/>
          <w:sz w:val="24"/>
        </w:rPr>
      </w:pPr>
      <w:r>
        <w:rPr>
          <w:b/>
          <w:sz w:val="24"/>
        </w:rPr>
      </w:r>
    </w:p>
    <w:p>
      <w:pPr>
        <w:pStyle w:val="Normal"/>
        <w:numPr>
          <w:ilvl w:val="0"/>
          <w:numId w:val="27"/>
        </w:numPr>
        <w:rPr>
          <w:b/>
          <w:sz w:val="24"/>
        </w:rPr>
      </w:pPr>
      <w:r>
        <w:rPr>
          <w:b/>
          <w:sz w:val="24"/>
        </w:rPr>
        <w:t>Clarify the Toxic Tort Definition</w:t>
      </w:r>
    </w:p>
    <w:p>
      <w:pPr>
        <w:pStyle w:val="Normal"/>
        <w:rPr>
          <w:b/>
          <w:sz w:val="24"/>
        </w:rPr>
      </w:pPr>
      <w:r>
        <w:rPr>
          <w:b/>
          <w:sz w:val="24"/>
        </w:rPr>
      </w:r>
    </w:p>
    <w:p>
      <w:pPr>
        <w:pStyle w:val="Normal"/>
        <w:rPr>
          <w:sz w:val="24"/>
        </w:rPr>
      </w:pPr>
      <w:r>
        <w:rPr>
          <w:sz w:val="24"/>
        </w:rPr>
        <w:t>Texas joint and several liability law, which requires a defendant to be more than 50% liable in order to be jointly and severally liable for the entire judgment, makes an exception for “toxic torts.”  The definition of “toxic tort” is so broad that exposure to water and other harmless substances could constitute a toxic tort.  The definition of toxic tort should be redefined to pertain strictly to toxic substances.</w:t>
      </w:r>
    </w:p>
    <w:p>
      <w:pPr>
        <w:pStyle w:val="Normal"/>
        <w:tabs>
          <w:tab w:val="clear" w:pos="720"/>
          <w:tab w:val="left" w:pos="1440" w:leader="none"/>
        </w:tabs>
        <w:rPr>
          <w:b/>
          <w:sz w:val="24"/>
        </w:rPr>
      </w:pPr>
      <w:r>
        <w:rPr>
          <w:b/>
          <w:sz w:val="24"/>
        </w:rPr>
      </w:r>
    </w:p>
    <w:p>
      <w:pPr>
        <w:pStyle w:val="Normal"/>
        <w:tabs>
          <w:tab w:val="clear" w:pos="720"/>
          <w:tab w:val="left" w:pos="1440" w:leader="none"/>
        </w:tabs>
        <w:rPr>
          <w:b/>
          <w:sz w:val="24"/>
        </w:rPr>
      </w:pPr>
      <w:r>
        <w:rPr>
          <w:b/>
          <w:sz w:val="24"/>
        </w:rPr>
      </w:r>
    </w:p>
    <w:p>
      <w:pPr>
        <w:pStyle w:val="Normal"/>
        <w:tabs>
          <w:tab w:val="clear" w:pos="720"/>
          <w:tab w:val="left" w:pos="1440" w:leader="none"/>
        </w:tabs>
        <w:rPr>
          <w:b/>
          <w:sz w:val="24"/>
        </w:rPr>
      </w:pPr>
      <w:r>
        <w:rPr>
          <w:b/>
          <w:sz w:val="24"/>
        </w:rPr>
        <w:t>IMPLEMENTATION</w:t>
      </w:r>
    </w:p>
    <w:p>
      <w:pPr>
        <w:pStyle w:val="Normal"/>
        <w:tabs>
          <w:tab w:val="clear" w:pos="720"/>
          <w:tab w:val="left" w:pos="1440" w:leader="none"/>
        </w:tabs>
        <w:rPr>
          <w:b/>
          <w:sz w:val="24"/>
        </w:rPr>
      </w:pPr>
      <w:r>
        <w:rPr>
          <w:b/>
          <w:sz w:val="24"/>
        </w:rPr>
      </w:r>
    </w:p>
    <w:p>
      <w:pPr>
        <w:pStyle w:val="Normal"/>
        <w:tabs>
          <w:tab w:val="clear" w:pos="720"/>
          <w:tab w:val="left" w:pos="1440" w:leader="none"/>
        </w:tabs>
        <w:rPr/>
      </w:pPr>
      <w:r>
        <w:rPr>
          <w:sz w:val="24"/>
        </w:rPr>
        <w:t>Communicate this position to members of the area legislative delegation, appropriate legislative leaders, Houston-area and statewide business groups and interested parties.  Include the position in summaries of the Partnership’s legislative program for the 77</w:t>
      </w:r>
      <w:r>
        <w:rPr>
          <w:sz w:val="24"/>
          <w:vertAlign w:val="superscript"/>
        </w:rPr>
        <w:t>th</w:t>
      </w:r>
      <w:r>
        <w:rPr>
          <w:sz w:val="24"/>
        </w:rPr>
        <w:t xml:space="preserve"> Legislative Session.</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Review proposed legislation on these issues during the legislative session.  Develop additional positions on specific bills as deemed appropriate by the Business Issues Advisory Committee.</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Present testimony at legislative committee hearings, in coordination with bill sponsors, Texans for Lawsuit Reform and the Texas Civil Justice League.</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tabs>
          <w:tab w:val="clear" w:pos="720"/>
          <w:tab w:val="left" w:pos="1440" w:leader="none"/>
        </w:tabs>
        <w:rPr>
          <w:b/>
          <w:sz w:val="24"/>
        </w:rPr>
      </w:pPr>
      <w:r>
        <w:rPr>
          <w:b/>
          <w:sz w:val="24"/>
        </w:rPr>
        <w:t>RESOURCES REQUIRED</w:t>
      </w:r>
    </w:p>
    <w:p>
      <w:pPr>
        <w:pStyle w:val="Normal"/>
        <w:tabs>
          <w:tab w:val="clear" w:pos="720"/>
          <w:tab w:val="left" w:pos="1440" w:leader="none"/>
        </w:tabs>
        <w:rPr>
          <w:b/>
          <w:sz w:val="24"/>
        </w:rPr>
      </w:pPr>
      <w:r>
        <w:rPr>
          <w:b/>
          <w:sz w:val="24"/>
        </w:rPr>
      </w:r>
    </w:p>
    <w:p>
      <w:pPr>
        <w:pStyle w:val="Normal"/>
        <w:tabs>
          <w:tab w:val="clear" w:pos="720"/>
          <w:tab w:val="left" w:pos="1440" w:leader="none"/>
        </w:tabs>
        <w:rPr>
          <w:sz w:val="24"/>
        </w:rPr>
      </w:pPr>
      <w:r>
        <w:rPr>
          <w:sz w:val="24"/>
        </w:rPr>
        <w:t xml:space="preserve">This recommendation can be implemented with available staff and within the current operating budget.  </w:t>
      </w:r>
      <w:r>
        <w:br w:type="page"/>
      </w:r>
    </w:p>
    <w:p>
      <w:pPr>
        <w:pStyle w:val="Heading3"/>
        <w:ind w:hanging="0" w:start="0"/>
        <w:rPr/>
      </w:pPr>
      <w:r>
        <w:rPr/>
        <w:t>Greater Houston Partnership</w:t>
        <w:tab/>
        <w:t>November 7, 2000</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Adopting a Transportation and Infrastructure Legislative Agenda</w:t>
      </w:r>
    </w:p>
    <w:p>
      <w:pPr>
        <w:pStyle w:val="Normal"/>
        <w:jc w:val="center"/>
        <w:rPr/>
      </w:pPr>
      <w:r>
        <w:rPr>
          <w:b/>
          <w:sz w:val="28"/>
        </w:rPr>
        <w:t>For the 77</w:t>
      </w:r>
      <w:r>
        <w:rPr>
          <w:b/>
          <w:sz w:val="28"/>
          <w:vertAlign w:val="superscript"/>
        </w:rPr>
        <w:t>th</w:t>
      </w:r>
      <w:r>
        <w:rPr>
          <w:b/>
          <w:sz w:val="28"/>
        </w:rPr>
        <w:t xml:space="preserve"> Texas Legislature</w:t>
      </w:r>
    </w:p>
    <w:p>
      <w:pPr>
        <w:pStyle w:val="Normal"/>
        <w:pBdr>
          <w:bottom w:val="single" w:sz="6" w:space="1" w:color="000000"/>
        </w:pBdr>
        <w:jc w:val="center"/>
        <w:rPr>
          <w:b/>
          <w:sz w:val="28"/>
        </w:rPr>
      </w:pPr>
      <w:r>
        <w:rPr>
          <w:b/>
          <w:sz w:val="28"/>
        </w:rPr>
      </w:r>
    </w:p>
    <w:p>
      <w:pPr>
        <w:pStyle w:val="Normal"/>
        <w:rPr/>
      </w:pPr>
      <w:r>
        <w:rPr/>
      </w:r>
    </w:p>
    <w:p>
      <w:pPr>
        <w:pStyle w:val="Normal"/>
        <w:autoSpaceDE w:val="false"/>
        <w:spacing w:lineRule="auto" w:line="221"/>
        <w:jc w:val="both"/>
        <w:rPr>
          <w:sz w:val="22"/>
          <w:szCs w:val="18"/>
        </w:rPr>
      </w:pPr>
      <w:r>
        <w:rPr>
          <w:sz w:val="22"/>
          <w:szCs w:val="18"/>
        </w:rPr>
        <w:t xml:space="preserve">The Greater Houston Partnership believes that mobility and a quality transportation and water supply system are critical to the economic vitality of the Houston region and the quality of life of its citizens.  In order to adequately address the needs of aging transportation and water supply infrastructure, population and job growth, and increasing travel and water supply demands, an increased level of investment is necessary in order to maintain mobility and a quality transportation and water supply system for the Houston region.  </w:t>
      </w:r>
    </w:p>
    <w:p>
      <w:pPr>
        <w:pStyle w:val="Normal"/>
        <w:autoSpaceDE w:val="false"/>
        <w:spacing w:lineRule="auto" w:line="221"/>
        <w:jc w:val="both"/>
        <w:rPr>
          <w:sz w:val="22"/>
          <w:szCs w:val="18"/>
        </w:rPr>
      </w:pPr>
      <w:r>
        <w:rPr>
          <w:sz w:val="22"/>
          <w:szCs w:val="18"/>
        </w:rPr>
      </w:r>
    </w:p>
    <w:p>
      <w:pPr>
        <w:pStyle w:val="Normal"/>
        <w:autoSpaceDE w:val="false"/>
        <w:spacing w:lineRule="auto" w:line="221"/>
        <w:jc w:val="both"/>
        <w:rPr>
          <w:sz w:val="22"/>
          <w:szCs w:val="18"/>
        </w:rPr>
      </w:pPr>
      <w:r>
        <w:rPr>
          <w:sz w:val="22"/>
          <w:szCs w:val="18"/>
        </w:rPr>
        <w:t>The Greater Houston Partnership urges the Legislature to respond to the growing sense of urgency for Texas to raise the level of priority it places on these issues by adopting legislation and/or taking appropriate measures that include the following:</w:t>
      </w:r>
    </w:p>
    <w:p>
      <w:pPr>
        <w:pStyle w:val="Normal"/>
        <w:autoSpaceDE w:val="false"/>
        <w:spacing w:lineRule="auto" w:line="221"/>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szCs w:val="18"/>
        </w:rPr>
        <w:t>Reallocate road and highway user fees for road and highway improvements</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Continue the process of reducing the reallocation of State Highway Fund 006 funds to other non-transportation related programs</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Permit innovative financing, construction, and right-of-way acquisition methods in order to speed delivery of lower cost roadway construction projects</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Increase certain transportation related fees, permits, and sanctions</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Move the point of collection of motor fuel taxes from the distributor to the terminal rack</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Increase appropriations to the Lateral Road and Bridge Fund</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rPr>
        <w:t>Amend the Development Corporation Act to include transportation as an allowable use</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 w:val="22"/>
          <w:szCs w:val="18"/>
        </w:rPr>
      </w:pPr>
      <w:r>
        <w:rPr>
          <w:sz w:val="22"/>
          <w:szCs w:val="18"/>
        </w:rPr>
        <w:t>Allow creation and regionalization of port authorities</w:t>
      </w:r>
    </w:p>
    <w:p>
      <w:pPr>
        <w:pStyle w:val="Normal"/>
        <w:autoSpaceDE w:val="false"/>
        <w:spacing w:lineRule="auto" w:line="221"/>
        <w:ind w:start="360" w:end="0"/>
        <w:jc w:val="both"/>
        <w:rPr>
          <w:sz w:val="22"/>
          <w:szCs w:val="18"/>
        </w:rPr>
      </w:pPr>
      <w:r>
        <w:rPr>
          <w:sz w:val="22"/>
          <w:szCs w:val="18"/>
        </w:rPr>
      </w:r>
    </w:p>
    <w:p>
      <w:pPr>
        <w:pStyle w:val="Normal"/>
        <w:numPr>
          <w:ilvl w:val="0"/>
          <w:numId w:val="17"/>
        </w:numPr>
        <w:autoSpaceDE w:val="false"/>
        <w:spacing w:lineRule="auto" w:line="221"/>
        <w:jc w:val="both"/>
        <w:rPr>
          <w:szCs w:val="18"/>
        </w:rPr>
      </w:pPr>
      <w:r>
        <w:rPr>
          <w:sz w:val="22"/>
          <w:szCs w:val="18"/>
        </w:rPr>
        <w:t>Allow establishment of and effective operation of regional water authorities</w:t>
      </w:r>
    </w:p>
    <w:p>
      <w:pPr>
        <w:pStyle w:val="Normal"/>
        <w:autoSpaceDE w:val="false"/>
        <w:spacing w:lineRule="auto" w:line="221"/>
        <w:jc w:val="both"/>
        <w:rPr>
          <w:szCs w:val="18"/>
        </w:rPr>
      </w:pPr>
      <w:r>
        <w:rPr>
          <w:szCs w:val="18"/>
        </w:rPr>
      </w:r>
    </w:p>
    <w:p>
      <w:pPr>
        <w:pStyle w:val="Normal"/>
        <w:autoSpaceDE w:val="false"/>
        <w:spacing w:lineRule="auto" w:line="221"/>
        <w:jc w:val="both"/>
        <w:rPr>
          <w:szCs w:val="18"/>
        </w:rPr>
      </w:pPr>
      <w:r>
        <w:rPr>
          <w:szCs w:val="18"/>
        </w:rPr>
      </w:r>
    </w:p>
    <w:p>
      <w:pPr>
        <w:pStyle w:val="Normal"/>
        <w:autoSpaceDE w:val="false"/>
        <w:spacing w:lineRule="auto" w:line="221"/>
        <w:jc w:val="both"/>
        <w:rPr>
          <w:szCs w:val="18"/>
        </w:rPr>
      </w:pPr>
      <w:r>
        <w:rPr>
          <w:szCs w:val="18"/>
        </w:rPr>
      </w:r>
    </w:p>
    <w:p>
      <w:pPr>
        <w:pStyle w:val="Normal"/>
        <w:rPr>
          <w:szCs w:val="18"/>
        </w:rPr>
      </w:pPr>
      <w:r>
        <w:rPr>
          <w:szCs w:val="18"/>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sectPr>
          <w:footerReference w:type="default" r:id="rId2"/>
          <w:footerReference w:type="first" r:id="rId3"/>
          <w:type w:val="nextPage"/>
          <w:pgSz w:w="12240" w:h="15840"/>
          <w:pgMar w:left="1680" w:right="1680" w:gutter="0" w:header="0" w:top="1440" w:footer="960" w:bottom="1440"/>
          <w:pgNumType w:start="0" w:fmt="decimal"/>
          <w:formProt w:val="false"/>
          <w:titlePg/>
          <w:textDirection w:val="lrTb"/>
          <w:docGrid w:type="default" w:linePitch="360" w:charSpace="0"/>
        </w:sectPr>
      </w:pPr>
    </w:p>
    <w:p>
      <w:pPr>
        <w:pStyle w:val="Header"/>
        <w:tabs>
          <w:tab w:val="clear" w:pos="4320"/>
          <w:tab w:val="clear" w:pos="8640"/>
        </w:tabs>
        <w:rPr/>
      </w:pPr>
      <w:r>
        <w:rPr/>
      </w:r>
    </w:p>
    <w:p>
      <w:pPr>
        <w:pStyle w:val="Heading5"/>
        <w:ind w:hanging="0" w:start="0"/>
        <w:rPr>
          <w:b w:val="false"/>
        </w:rPr>
      </w:pPr>
      <w:r>
        <w:rPr>
          <w:b w:val="false"/>
        </w:rPr>
        <w:t>MEMORANDUM</w:t>
      </w:r>
    </w:p>
    <w:p>
      <w:pPr>
        <w:pStyle w:val="Normal"/>
        <w:rPr>
          <w:b/>
        </w:rPr>
      </w:pPr>
      <w:r>
        <w:rPr>
          <w:b/>
        </w:rPr>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sz w:val="24"/>
              </w:rPr>
            </w:pPr>
            <w:r>
              <w:rPr>
                <w:b/>
                <w:sz w:val="24"/>
              </w:rPr>
              <w:t>DATE:</w:t>
            </w:r>
          </w:p>
        </w:tc>
        <w:tc>
          <w:tcPr>
            <w:tcW w:w="7656" w:type="dxa"/>
            <w:tcBorders/>
          </w:tcPr>
          <w:p>
            <w:pPr>
              <w:pStyle w:val="Normal"/>
              <w:rPr>
                <w:sz w:val="24"/>
              </w:rPr>
            </w:pPr>
            <w:r>
              <w:rPr>
                <w:sz w:val="24"/>
              </w:rPr>
              <w:t>November 7, 2000</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TO:</w:t>
            </w:r>
          </w:p>
        </w:tc>
        <w:tc>
          <w:tcPr>
            <w:tcW w:w="7656" w:type="dxa"/>
            <w:tcBorders/>
          </w:tcPr>
          <w:p>
            <w:pPr>
              <w:pStyle w:val="Normal"/>
              <w:rPr>
                <w:sz w:val="24"/>
              </w:rPr>
            </w:pPr>
            <w:r>
              <w:rPr>
                <w:sz w:val="24"/>
              </w:rPr>
              <w:t>Jim Royer, Chairman</w:t>
            </w:r>
          </w:p>
          <w:p>
            <w:pPr>
              <w:pStyle w:val="Normal"/>
              <w:rPr>
                <w:sz w:val="24"/>
              </w:rPr>
            </w:pPr>
            <w:r>
              <w:rPr>
                <w:sz w:val="24"/>
              </w:rPr>
              <w:t>Board of Directors</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FROM:</w:t>
            </w:r>
          </w:p>
        </w:tc>
        <w:tc>
          <w:tcPr>
            <w:tcW w:w="7656" w:type="dxa"/>
            <w:tcBorders/>
          </w:tcPr>
          <w:p>
            <w:pPr>
              <w:pStyle w:val="Normal"/>
              <w:rPr>
                <w:sz w:val="24"/>
              </w:rPr>
            </w:pPr>
            <w:r>
              <w:rPr>
                <w:sz w:val="24"/>
              </w:rPr>
              <w:t>C. Richard Everett, Chairman</w:t>
            </w:r>
          </w:p>
          <w:p>
            <w:pPr>
              <w:pStyle w:val="Normal"/>
              <w:rPr>
                <w:sz w:val="24"/>
              </w:rPr>
            </w:pPr>
            <w:r>
              <w:rPr>
                <w:sz w:val="24"/>
              </w:rPr>
              <w:t>Transportation and Infrastructure Advisory Committee</w:t>
            </w:r>
          </w:p>
        </w:tc>
      </w:tr>
      <w:tr>
        <w:trPr/>
        <w:tc>
          <w:tcPr>
            <w:tcW w:w="1440" w:type="dxa"/>
            <w:tcBorders/>
          </w:tcPr>
          <w:p>
            <w:pPr>
              <w:pStyle w:val="Normal"/>
              <w:snapToGrid w:val="false"/>
              <w:rPr>
                <w:sz w:val="24"/>
              </w:rPr>
            </w:pPr>
            <w:r>
              <w:rPr>
                <w:sz w:val="24"/>
              </w:rPr>
            </w:r>
          </w:p>
        </w:tc>
        <w:tc>
          <w:tcPr>
            <w:tcW w:w="7656" w:type="dxa"/>
            <w:tcBorders/>
          </w:tcPr>
          <w:p>
            <w:pPr>
              <w:pStyle w:val="Normal"/>
              <w:snapToGrid w:val="false"/>
              <w:rPr>
                <w:sz w:val="24"/>
              </w:rPr>
            </w:pPr>
            <w:r>
              <w:rPr>
                <w:sz w:val="24"/>
              </w:rPr>
            </w:r>
          </w:p>
        </w:tc>
      </w:tr>
      <w:tr>
        <w:trPr/>
        <w:tc>
          <w:tcPr>
            <w:tcW w:w="1440" w:type="dxa"/>
            <w:tcBorders/>
          </w:tcPr>
          <w:p>
            <w:pPr>
              <w:pStyle w:val="Normal"/>
              <w:rPr>
                <w:sz w:val="24"/>
              </w:rPr>
            </w:pPr>
            <w:r>
              <w:rPr>
                <w:b/>
                <w:sz w:val="24"/>
              </w:rPr>
              <w:t>SUBJECT:</w:t>
            </w:r>
          </w:p>
        </w:tc>
        <w:tc>
          <w:tcPr>
            <w:tcW w:w="7656" w:type="dxa"/>
            <w:tcBorders/>
          </w:tcPr>
          <w:p>
            <w:pPr>
              <w:pStyle w:val="Normal"/>
              <w:rPr>
                <w:sz w:val="24"/>
              </w:rPr>
            </w:pPr>
            <w:r>
              <w:rPr>
                <w:sz w:val="24"/>
              </w:rPr>
              <w:t>Resolution Adopting a Transportation and Infrastructure</w:t>
            </w:r>
          </w:p>
          <w:p>
            <w:pPr>
              <w:pStyle w:val="Normal"/>
              <w:rPr/>
            </w:pPr>
            <w:r>
              <w:rPr>
                <w:sz w:val="24"/>
              </w:rPr>
              <w:t>Legislative Agenda for the 77</w:t>
            </w:r>
            <w:r>
              <w:rPr>
                <w:sz w:val="24"/>
                <w:vertAlign w:val="superscript"/>
              </w:rPr>
              <w:t>th</w:t>
            </w:r>
            <w:r>
              <w:rPr>
                <w:sz w:val="24"/>
              </w:rPr>
              <w:t xml:space="preserve"> Texas State Legislature</w:t>
            </w:r>
          </w:p>
        </w:tc>
      </w:tr>
    </w:tbl>
    <w:p>
      <w:pPr>
        <w:pStyle w:val="Normal"/>
        <w:pBdr>
          <w:bottom w:val="single" w:sz="6" w:space="1" w:color="000000"/>
        </w:pBdr>
        <w:tabs>
          <w:tab w:val="clear" w:pos="720"/>
          <w:tab w:val="left" w:pos="1440" w:leader="none"/>
        </w:tabs>
        <w:jc w:val="both"/>
        <w:rPr>
          <w:sz w:val="24"/>
        </w:rPr>
      </w:pPr>
      <w:r>
        <w:rPr>
          <w:sz w:val="24"/>
        </w:rPr>
      </w:r>
    </w:p>
    <w:p>
      <w:pPr>
        <w:pStyle w:val="Heading2"/>
        <w:rPr>
          <w:i/>
          <w:i/>
          <w:sz w:val="16"/>
        </w:rPr>
      </w:pPr>
      <w:r>
        <w:rPr>
          <w:i/>
          <w:sz w:val="16"/>
        </w:rPr>
      </w:r>
    </w:p>
    <w:p>
      <w:pPr>
        <w:pStyle w:val="Heading2"/>
        <w:ind w:start="0" w:end="0"/>
        <w:rPr>
          <w:sz w:val="24"/>
        </w:rPr>
      </w:pPr>
      <w:r>
        <w:rPr>
          <w:sz w:val="24"/>
        </w:rPr>
        <w:t>RECOMMENDATION</w:t>
      </w:r>
    </w:p>
    <w:p>
      <w:pPr>
        <w:pStyle w:val="Normal"/>
        <w:autoSpaceDE w:val="false"/>
        <w:spacing w:lineRule="auto" w:line="221"/>
        <w:jc w:val="both"/>
        <w:rPr>
          <w:sz w:val="24"/>
          <w:szCs w:val="18"/>
        </w:rPr>
      </w:pPr>
      <w:r>
        <w:rPr>
          <w:sz w:val="24"/>
          <w:szCs w:val="18"/>
        </w:rPr>
      </w:r>
    </w:p>
    <w:p>
      <w:pPr>
        <w:pStyle w:val="Normal"/>
        <w:autoSpaceDE w:val="false"/>
        <w:spacing w:lineRule="auto" w:line="221"/>
        <w:jc w:val="both"/>
        <w:rPr>
          <w:sz w:val="24"/>
          <w:szCs w:val="18"/>
        </w:rPr>
      </w:pPr>
      <w:r>
        <w:rPr>
          <w:sz w:val="24"/>
          <w:szCs w:val="18"/>
        </w:rPr>
        <w:t xml:space="preserve">The Greater Houston Partnership believes that mobility and a quality transportation and water supply system are critical to the economic vitality of the Houston region and the quality of life of its citizens.  In order to adequately address the needs of aging transportation and water supply infrastructure, population and job growth, and increasing travel and water supply demands, an increased level of investment is necessary in order to maintain mobility and a quality transportation and water supply system for the Houston region.  </w:t>
      </w:r>
    </w:p>
    <w:p>
      <w:pPr>
        <w:pStyle w:val="Normal"/>
        <w:autoSpaceDE w:val="false"/>
        <w:spacing w:lineRule="auto" w:line="221"/>
        <w:jc w:val="both"/>
        <w:rPr>
          <w:sz w:val="24"/>
          <w:szCs w:val="18"/>
        </w:rPr>
      </w:pPr>
      <w:r>
        <w:rPr>
          <w:sz w:val="24"/>
          <w:szCs w:val="18"/>
        </w:rPr>
      </w:r>
    </w:p>
    <w:p>
      <w:pPr>
        <w:pStyle w:val="Normal"/>
        <w:autoSpaceDE w:val="false"/>
        <w:spacing w:lineRule="auto" w:line="221"/>
        <w:jc w:val="both"/>
        <w:rPr>
          <w:sz w:val="24"/>
          <w:szCs w:val="18"/>
        </w:rPr>
      </w:pPr>
      <w:r>
        <w:rPr>
          <w:sz w:val="24"/>
          <w:szCs w:val="18"/>
        </w:rPr>
        <w:t>The Greater Houston Partnership urges the Legislature to respond to the growing sense of urgency for Texas to raise the level of priority it places on these issues by adopting legislation and/or taking appropriate measures that include the following:</w:t>
      </w:r>
    </w:p>
    <w:p>
      <w:pPr>
        <w:pStyle w:val="Normal"/>
        <w:autoSpaceDE w:val="false"/>
        <w:spacing w:lineRule="auto" w:line="221"/>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szCs w:val="18"/>
        </w:rPr>
        <w:t>Reallocate road and highway user fees for road and highway improvements</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Continue the process of reducing the reallocation of State Highway Fund 006 funds to other non-transportation related programs</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Permit innovative financing, construction, and right-of-way acquisition methods in order to speed delivery of lower cost roadway construction projects</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Increase certain transportation related fees, permits, and sanctions</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Move the point of collection of motor fuel taxes from the distributor to the terminal rack</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Increase appropriations to the Lateral Road and Bridge Fund</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rPr>
        <w:t>Amend the Development Corporation Act to include transportation as an allowable use</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szCs w:val="18"/>
        </w:rPr>
        <w:t>Allow creation and regionalization of port authorities</w:t>
      </w:r>
    </w:p>
    <w:p>
      <w:pPr>
        <w:pStyle w:val="Normal"/>
        <w:autoSpaceDE w:val="false"/>
        <w:spacing w:lineRule="auto" w:line="221"/>
        <w:ind w:start="360" w:end="0"/>
        <w:jc w:val="both"/>
        <w:rPr>
          <w:sz w:val="24"/>
          <w:szCs w:val="18"/>
        </w:rPr>
      </w:pPr>
      <w:r>
        <w:rPr>
          <w:sz w:val="24"/>
          <w:szCs w:val="18"/>
        </w:rPr>
      </w:r>
    </w:p>
    <w:p>
      <w:pPr>
        <w:pStyle w:val="Normal"/>
        <w:numPr>
          <w:ilvl w:val="0"/>
          <w:numId w:val="20"/>
        </w:numPr>
        <w:autoSpaceDE w:val="false"/>
        <w:spacing w:lineRule="auto" w:line="221"/>
        <w:jc w:val="both"/>
        <w:rPr>
          <w:sz w:val="24"/>
          <w:szCs w:val="18"/>
        </w:rPr>
      </w:pPr>
      <w:r>
        <w:rPr>
          <w:sz w:val="24"/>
          <w:szCs w:val="18"/>
        </w:rPr>
        <w:t>Allow establishment of and effective operation of regional water authorities</w:t>
      </w:r>
      <w:r>
        <w:br w:type="page"/>
      </w:r>
    </w:p>
    <w:p>
      <w:pPr>
        <w:pStyle w:val="Header"/>
        <w:tabs>
          <w:tab w:val="clear" w:pos="4320"/>
          <w:tab w:val="clear" w:pos="8640"/>
        </w:tabs>
        <w:rPr>
          <w:b/>
          <w:sz w:val="24"/>
        </w:rPr>
      </w:pPr>
      <w:r>
        <w:rPr>
          <w:b/>
          <w:sz w:val="24"/>
        </w:rPr>
        <w:t>BACKGROUND</w:t>
      </w:r>
    </w:p>
    <w:p>
      <w:pPr>
        <w:pStyle w:val="Normal"/>
        <w:autoSpaceDE w:val="false"/>
        <w:spacing w:lineRule="auto" w:line="221"/>
        <w:jc w:val="both"/>
        <w:rPr>
          <w:b/>
          <w:sz w:val="24"/>
          <w:szCs w:val="18"/>
        </w:rPr>
      </w:pPr>
      <w:r>
        <w:rPr>
          <w:b/>
          <w:sz w:val="24"/>
          <w:szCs w:val="18"/>
        </w:rPr>
      </w:r>
    </w:p>
    <w:p>
      <w:pPr>
        <w:pStyle w:val="Heading6"/>
        <w:numPr>
          <w:ilvl w:val="0"/>
          <w:numId w:val="0"/>
        </w:numPr>
        <w:tabs>
          <w:tab w:val="clear" w:pos="720"/>
          <w:tab w:val="left" w:pos="360" w:leader="none"/>
        </w:tabs>
        <w:ind w:hanging="0" w:start="0"/>
        <w:rPr/>
      </w:pPr>
      <w:r>
        <w:rPr>
          <w:rPrChange w:id="0" w:author="Unknown" w:date="2000-09-07T10:03:00Z"/>
        </w:rPr>
        <w:t>I.</w:t>
        <w:tab/>
        <w:tab/>
        <w:t>Reallocate road and highway user fees for road and highway improvements</w:t>
      </w:r>
    </w:p>
    <w:p>
      <w:pPr>
        <w:pStyle w:val="Normal"/>
        <w:ind w:start="360" w:end="0"/>
        <w:rPr>
          <w:b/>
          <w:bCs/>
          <w:sz w:val="24"/>
        </w:rPr>
      </w:pPr>
      <w:r>
        <w:rPr>
          <w:b/>
          <w:bCs/>
          <w:sz w:val="24"/>
        </w:rPr>
      </w:r>
    </w:p>
    <w:p>
      <w:pPr>
        <w:pStyle w:val="BodyTextIndent"/>
        <w:ind w:hanging="720" w:start="1440" w:end="0"/>
        <w:rPr/>
      </w:pPr>
      <w:r>
        <w:rPr/>
        <w:t>A.</w:t>
        <w:tab/>
        <w:t>Discontinue the vehicle registration fee contribution to the General Revenue Fund</w:t>
      </w:r>
    </w:p>
    <w:p>
      <w:pPr>
        <w:pStyle w:val="Normal"/>
        <w:numPr>
          <w:ilvl w:val="0"/>
          <w:numId w:val="26"/>
        </w:numPr>
        <w:ind w:hanging="360" w:start="1440" w:end="0"/>
        <w:rPr>
          <w:sz w:val="24"/>
        </w:rPr>
      </w:pPr>
      <w:r>
        <w:rPr>
          <w:sz w:val="24"/>
        </w:rPr>
        <w:t xml:space="preserve">An amount equal to five per cent of the sales tax collected on motor vehicles is allocated to counties. </w:t>
      </w:r>
    </w:p>
    <w:p>
      <w:pPr>
        <w:pStyle w:val="Normal"/>
        <w:numPr>
          <w:ilvl w:val="0"/>
          <w:numId w:val="26"/>
        </w:numPr>
        <w:ind w:hanging="360" w:start="1440" w:end="0"/>
        <w:rPr>
          <w:sz w:val="24"/>
        </w:rPr>
      </w:pPr>
      <w:r>
        <w:rPr>
          <w:sz w:val="24"/>
        </w:rPr>
        <w:t xml:space="preserve">Prior to 1992, it was funded from sales tax collections; since 1992, it has been funded by registration fee collections. </w:t>
      </w:r>
    </w:p>
    <w:p>
      <w:pPr>
        <w:pStyle w:val="Normal"/>
        <w:numPr>
          <w:ilvl w:val="0"/>
          <w:numId w:val="26"/>
        </w:numPr>
        <w:ind w:hanging="360" w:start="1440" w:end="0"/>
        <w:rPr>
          <w:sz w:val="24"/>
        </w:rPr>
      </w:pPr>
      <w:r>
        <w:rPr>
          <w:sz w:val="24"/>
        </w:rPr>
        <w:t xml:space="preserve">The proposal is to return to the pre-1992 practice, in which sales tax is the funding source. </w:t>
      </w:r>
    </w:p>
    <w:p>
      <w:pPr>
        <w:pStyle w:val="Normal"/>
        <w:ind w:hanging="720" w:start="1800" w:end="0"/>
        <w:rPr/>
      </w:pPr>
      <w:r>
        <w:rPr>
          <w:b/>
          <w:sz w:val="24"/>
        </w:rPr>
        <w:t>EFFECT:</w:t>
      </w:r>
      <w:r>
        <w:rPr>
          <w:sz w:val="24"/>
        </w:rPr>
        <w:t xml:space="preserve">  $100 million annual increase to State Highway Fund 006.</w:t>
      </w:r>
    </w:p>
    <w:p>
      <w:pPr>
        <w:pStyle w:val="Normal"/>
        <w:ind w:hanging="720" w:start="1260" w:end="0"/>
        <w:rPr>
          <w:b/>
          <w:bCs/>
          <w:sz w:val="24"/>
        </w:rPr>
      </w:pPr>
      <w:r>
        <w:rPr>
          <w:b/>
          <w:bCs/>
          <w:sz w:val="24"/>
        </w:rPr>
      </w:r>
    </w:p>
    <w:p>
      <w:pPr>
        <w:pStyle w:val="Normal"/>
        <w:tabs>
          <w:tab w:val="clear" w:pos="720"/>
          <w:tab w:val="left" w:pos="1440" w:leader="none"/>
        </w:tabs>
        <w:ind w:hanging="720" w:start="1440" w:end="0"/>
        <w:rPr>
          <w:b/>
          <w:bCs/>
          <w:sz w:val="24"/>
        </w:rPr>
      </w:pPr>
      <w:r>
        <w:rPr>
          <w:b/>
          <w:bCs/>
          <w:sz w:val="24"/>
        </w:rPr>
        <w:t>B.</w:t>
        <w:tab/>
        <w:t>Deposit transportation fee revenue generated by the Department of Public Safety in the State Highway Fund.</w:t>
      </w:r>
    </w:p>
    <w:p>
      <w:pPr>
        <w:pStyle w:val="Normal"/>
        <w:numPr>
          <w:ilvl w:val="0"/>
          <w:numId w:val="22"/>
        </w:numPr>
        <w:ind w:hanging="360" w:start="1440" w:end="0"/>
        <w:rPr>
          <w:sz w:val="24"/>
        </w:rPr>
      </w:pPr>
      <w:r>
        <w:rPr>
          <w:sz w:val="24"/>
        </w:rPr>
        <w:t xml:space="preserve">Appropriations to support these programs come from the State Highway Fund, while the revenues collected are deposited in the General Fund. </w:t>
      </w:r>
    </w:p>
    <w:p>
      <w:pPr>
        <w:pStyle w:val="Normal"/>
        <w:numPr>
          <w:ilvl w:val="0"/>
          <w:numId w:val="22"/>
        </w:numPr>
        <w:ind w:hanging="360" w:start="1440" w:end="0"/>
        <w:rPr>
          <w:sz w:val="24"/>
        </w:rPr>
      </w:pPr>
      <w:r>
        <w:rPr>
          <w:sz w:val="24"/>
        </w:rPr>
        <w:t xml:space="preserve">The proposal is to deposit these revenues in the State Highway Fund </w:t>
      </w:r>
    </w:p>
    <w:p>
      <w:pPr>
        <w:pStyle w:val="Normal"/>
        <w:numPr>
          <w:ilvl w:val="0"/>
          <w:numId w:val="4"/>
        </w:numPr>
        <w:tabs>
          <w:tab w:val="clear" w:pos="720"/>
          <w:tab w:val="left" w:pos="1440" w:leader="none"/>
        </w:tabs>
        <w:ind w:hanging="360" w:start="1800" w:end="0"/>
        <w:rPr>
          <w:sz w:val="24"/>
        </w:rPr>
      </w:pPr>
      <w:r>
        <w:rPr>
          <w:sz w:val="24"/>
        </w:rPr>
        <w:t xml:space="preserve">Motor Vehicle Inspection Fees [$63,000,000], </w:t>
      </w:r>
    </w:p>
    <w:p>
      <w:pPr>
        <w:pStyle w:val="Normal"/>
        <w:numPr>
          <w:ilvl w:val="0"/>
          <w:numId w:val="4"/>
        </w:numPr>
        <w:tabs>
          <w:tab w:val="clear" w:pos="720"/>
          <w:tab w:val="left" w:pos="1440" w:leader="none"/>
        </w:tabs>
        <w:ind w:hanging="360" w:start="1800" w:end="0"/>
        <w:rPr>
          <w:sz w:val="24"/>
        </w:rPr>
      </w:pPr>
      <w:r>
        <w:rPr>
          <w:sz w:val="24"/>
        </w:rPr>
        <w:t xml:space="preserve">Driver License Fees [$97,500,00] and </w:t>
      </w:r>
    </w:p>
    <w:p>
      <w:pPr>
        <w:pStyle w:val="Normal"/>
        <w:numPr>
          <w:ilvl w:val="0"/>
          <w:numId w:val="4"/>
        </w:numPr>
        <w:tabs>
          <w:tab w:val="clear" w:pos="720"/>
          <w:tab w:val="left" w:pos="1440" w:leader="none"/>
        </w:tabs>
        <w:ind w:hanging="360" w:start="1800" w:end="0"/>
        <w:rPr>
          <w:sz w:val="24"/>
        </w:rPr>
      </w:pPr>
      <w:r>
        <w:rPr>
          <w:sz w:val="24"/>
        </w:rPr>
        <w:t xml:space="preserve">Driver Record Information Fees ($43,700,000]. </w:t>
      </w:r>
    </w:p>
    <w:p>
      <w:pPr>
        <w:pStyle w:val="Normal"/>
        <w:ind w:hanging="720" w:start="1800" w:end="0"/>
        <w:rPr/>
      </w:pPr>
      <w:r>
        <w:rPr>
          <w:b/>
          <w:sz w:val="24"/>
        </w:rPr>
        <w:t xml:space="preserve">EFFECT:  </w:t>
      </w:r>
      <w:r>
        <w:rPr>
          <w:sz w:val="24"/>
        </w:rPr>
        <w:t>$204.2 million annual increase in State Highway Fund 006</w:t>
      </w:r>
    </w:p>
    <w:p>
      <w:pPr>
        <w:pStyle w:val="Normal"/>
        <w:ind w:hanging="720" w:start="1260" w:end="0"/>
        <w:rPr>
          <w:b/>
          <w:bCs/>
          <w:sz w:val="24"/>
        </w:rPr>
      </w:pPr>
      <w:r>
        <w:rPr>
          <w:b/>
          <w:bCs/>
          <w:sz w:val="24"/>
        </w:rPr>
      </w:r>
    </w:p>
    <w:p>
      <w:pPr>
        <w:pStyle w:val="Normal"/>
        <w:autoSpaceDE w:val="false"/>
        <w:spacing w:lineRule="auto" w:line="221"/>
        <w:ind w:start="360" w:end="0"/>
        <w:jc w:val="both"/>
        <w:rPr>
          <w:b/>
          <w:bCs/>
          <w:sz w:val="24"/>
          <w:szCs w:val="18"/>
        </w:rPr>
      </w:pPr>
      <w:r>
        <w:rPr>
          <w:b/>
          <w:bCs/>
          <w:sz w:val="24"/>
          <w:szCs w:val="18"/>
        </w:rPr>
      </w:r>
    </w:p>
    <w:p>
      <w:pPr>
        <w:pStyle w:val="Normal"/>
        <w:autoSpaceDE w:val="false"/>
        <w:spacing w:lineRule="auto" w:line="221"/>
        <w:ind w:hanging="720" w:start="720" w:end="0"/>
        <w:jc w:val="both"/>
        <w:rPr>
          <w:b/>
          <w:bCs/>
          <w:sz w:val="24"/>
          <w:szCs w:val="18"/>
        </w:rPr>
      </w:pPr>
      <w:r>
        <w:rPr>
          <w:b/>
          <w:bCs/>
          <w:sz w:val="24"/>
        </w:rPr>
        <w:t>II.</w:t>
        <w:tab/>
        <w:t>Continue the process of reducing the reallocation of State Highway Fund 006 funds to other non-transportation related programs</w:t>
      </w:r>
    </w:p>
    <w:p>
      <w:pPr>
        <w:pStyle w:val="Normal"/>
        <w:ind w:start="360" w:end="0"/>
        <w:rPr>
          <w:b/>
          <w:bCs/>
          <w:sz w:val="24"/>
          <w:szCs w:val="18"/>
        </w:rPr>
      </w:pPr>
      <w:r>
        <w:rPr>
          <w:b/>
          <w:bCs/>
          <w:sz w:val="24"/>
          <w:szCs w:val="18"/>
        </w:rPr>
      </w:r>
    </w:p>
    <w:p>
      <w:pPr>
        <w:pStyle w:val="BodyTextIndent"/>
        <w:rPr/>
      </w:pPr>
      <w:r>
        <w:rPr/>
        <w:t>Discontinue funding non-transportation Department of Public Safety (DPS) functions from the State Highway Fund 006.</w:t>
      </w:r>
    </w:p>
    <w:p>
      <w:pPr>
        <w:pStyle w:val="Normal"/>
        <w:numPr>
          <w:ilvl w:val="0"/>
          <w:numId w:val="24"/>
        </w:numPr>
        <w:ind w:hanging="360" w:start="1080" w:end="0"/>
        <w:rPr>
          <w:sz w:val="24"/>
        </w:rPr>
      </w:pPr>
      <w:r>
        <w:rPr>
          <w:sz w:val="24"/>
        </w:rPr>
        <w:t xml:space="preserve">The Constitution and the Transportation Code permit the use of revenues deposited in the State Highway Fund for policing the public roadways. </w:t>
      </w:r>
    </w:p>
    <w:p>
      <w:pPr>
        <w:pStyle w:val="Normal"/>
        <w:numPr>
          <w:ilvl w:val="0"/>
          <w:numId w:val="24"/>
        </w:numPr>
        <w:ind w:hanging="360" w:start="1080" w:end="0"/>
        <w:rPr>
          <w:sz w:val="24"/>
        </w:rPr>
      </w:pPr>
      <w:r>
        <w:rPr>
          <w:sz w:val="24"/>
        </w:rPr>
        <w:t xml:space="preserve">DPS functions unrelated to the policing of public roadways should not be funded with such revenues. </w:t>
      </w:r>
    </w:p>
    <w:p>
      <w:pPr>
        <w:pStyle w:val="Normal"/>
        <w:numPr>
          <w:ilvl w:val="0"/>
          <w:numId w:val="24"/>
        </w:numPr>
        <w:ind w:hanging="360" w:start="1080" w:end="0"/>
        <w:rPr>
          <w:sz w:val="24"/>
        </w:rPr>
      </w:pPr>
      <w:r>
        <w:rPr>
          <w:sz w:val="24"/>
        </w:rPr>
        <w:t xml:space="preserve">The proposal would result in the appropriation of funds supporting functions of the DPS not directly related to transportation from the General Revenue Fund rather than the State Highway Fund. </w:t>
      </w:r>
    </w:p>
    <w:p>
      <w:pPr>
        <w:pStyle w:val="Normal"/>
        <w:ind w:hanging="720" w:start="1440" w:end="0"/>
        <w:rPr/>
      </w:pPr>
      <w:r>
        <w:rPr>
          <w:b/>
          <w:sz w:val="24"/>
        </w:rPr>
        <w:t>EFFECT:</w:t>
      </w:r>
      <w:r>
        <w:rPr>
          <w:sz w:val="24"/>
        </w:rPr>
        <w:t xml:space="preserve">   $69 million annual increase in State Highway Fund 006</w:t>
      </w:r>
    </w:p>
    <w:p>
      <w:pPr>
        <w:pStyle w:val="Normal"/>
        <w:ind w:hanging="720" w:start="1260" w:end="0"/>
        <w:rPr>
          <w:b/>
          <w:bCs/>
          <w:sz w:val="24"/>
        </w:rPr>
      </w:pPr>
      <w:r>
        <w:rPr>
          <w:b/>
          <w:bCs/>
          <w:sz w:val="24"/>
        </w:rPr>
      </w:r>
    </w:p>
    <w:p>
      <w:pPr>
        <w:pStyle w:val="Normal"/>
        <w:ind w:hanging="720" w:start="1260" w:end="0"/>
        <w:rPr>
          <w:b/>
          <w:bCs/>
          <w:sz w:val="24"/>
        </w:rPr>
      </w:pPr>
      <w:r>
        <w:rPr>
          <w:b/>
          <w:bCs/>
          <w:sz w:val="24"/>
        </w:rPr>
      </w:r>
    </w:p>
    <w:p>
      <w:pPr>
        <w:pStyle w:val="Normal"/>
        <w:autoSpaceDE w:val="false"/>
        <w:spacing w:lineRule="auto" w:line="221"/>
        <w:ind w:hanging="720" w:start="720" w:end="0"/>
        <w:jc w:val="both"/>
        <w:rPr>
          <w:b/>
          <w:bCs/>
          <w:sz w:val="24"/>
          <w:szCs w:val="18"/>
        </w:rPr>
      </w:pPr>
      <w:r>
        <w:rPr>
          <w:b/>
          <w:bCs/>
          <w:sz w:val="24"/>
        </w:rPr>
        <w:t>III.</w:t>
        <w:tab/>
        <w:t>Permit innovative financing, construction, and right-of-way acquisition methods in order to speed delivery of lower cost roadway construction projects.</w:t>
      </w:r>
    </w:p>
    <w:p>
      <w:pPr>
        <w:pStyle w:val="Normal"/>
        <w:ind w:start="360" w:end="0"/>
        <w:rPr>
          <w:b/>
          <w:bCs/>
          <w:sz w:val="24"/>
          <w:szCs w:val="18"/>
        </w:rPr>
      </w:pPr>
      <w:r>
        <w:rPr>
          <w:b/>
          <w:bCs/>
          <w:sz w:val="24"/>
          <w:szCs w:val="18"/>
        </w:rPr>
      </w:r>
    </w:p>
    <w:p>
      <w:pPr>
        <w:pStyle w:val="Normal"/>
        <w:ind w:hanging="720" w:start="1440" w:end="0"/>
        <w:rPr>
          <w:b/>
          <w:bCs/>
          <w:sz w:val="24"/>
        </w:rPr>
      </w:pPr>
      <w:r>
        <w:rPr>
          <w:b/>
          <w:bCs/>
          <w:sz w:val="24"/>
        </w:rPr>
        <w:t>A.</w:t>
        <w:tab/>
        <w:t xml:space="preserve">Permit investment of State Highway Fund revenues in toll road development. </w:t>
      </w:r>
    </w:p>
    <w:p>
      <w:pPr>
        <w:pStyle w:val="Normal"/>
        <w:numPr>
          <w:ilvl w:val="0"/>
          <w:numId w:val="15"/>
        </w:numPr>
        <w:ind w:hanging="360" w:start="1440" w:end="0"/>
        <w:rPr>
          <w:sz w:val="24"/>
        </w:rPr>
      </w:pPr>
      <w:r>
        <w:rPr>
          <w:sz w:val="24"/>
        </w:rPr>
        <w:t xml:space="preserve">Allowing for the mixing of state and toll revenues will make feasible some toll road development that otherwise would be financially infeasible. </w:t>
      </w:r>
    </w:p>
    <w:p>
      <w:pPr>
        <w:pStyle w:val="Normal"/>
        <w:numPr>
          <w:ilvl w:val="0"/>
          <w:numId w:val="15"/>
        </w:numPr>
        <w:ind w:hanging="360" w:start="1440" w:end="0"/>
        <w:rPr>
          <w:sz w:val="24"/>
        </w:rPr>
      </w:pPr>
      <w:r>
        <w:rPr>
          <w:sz w:val="24"/>
        </w:rPr>
        <w:t xml:space="preserve">These projects would otherwise be developed entirely with State Highway Fund revenues but over a longer period of time due to revenue constraints. </w:t>
      </w:r>
    </w:p>
    <w:p>
      <w:pPr>
        <w:pStyle w:val="Normal"/>
        <w:numPr>
          <w:ilvl w:val="0"/>
          <w:numId w:val="15"/>
        </w:numPr>
        <w:ind w:hanging="360" w:start="1440" w:end="0"/>
        <w:rPr>
          <w:sz w:val="24"/>
        </w:rPr>
      </w:pPr>
      <w:r>
        <w:rPr>
          <w:sz w:val="24"/>
        </w:rPr>
        <w:t xml:space="preserve">The proposal attracts new revenue from tolls that otherwise would not be available for needed highway development in Texas. </w:t>
      </w:r>
    </w:p>
    <w:p>
      <w:pPr>
        <w:pStyle w:val="Normal"/>
        <w:ind w:hanging="720" w:start="1800" w:end="0"/>
        <w:rPr/>
      </w:pPr>
      <w:r>
        <w:rPr>
          <w:b/>
          <w:sz w:val="24"/>
        </w:rPr>
        <w:t xml:space="preserve">EFFECT: </w:t>
      </w:r>
      <w:r>
        <w:rPr>
          <w:sz w:val="24"/>
        </w:rPr>
        <w:t xml:space="preserve"> It is an effective leveraging of existing resources.</w:t>
      </w:r>
    </w:p>
    <w:p>
      <w:pPr>
        <w:pStyle w:val="Normal"/>
        <w:ind w:hanging="720" w:start="1260" w:end="0"/>
        <w:rPr>
          <w:b/>
          <w:bCs/>
          <w:sz w:val="24"/>
        </w:rPr>
      </w:pPr>
      <w:r>
        <w:rPr>
          <w:b/>
          <w:bCs/>
          <w:sz w:val="24"/>
        </w:rPr>
      </w:r>
    </w:p>
    <w:p>
      <w:pPr>
        <w:pStyle w:val="Heading9"/>
        <w:rPr/>
      </w:pPr>
      <w:r>
        <w:rPr/>
        <w:t>B.</w:t>
        <w:tab/>
        <w:t>Establish a new transportation revolving fund for Texas</w:t>
      </w:r>
    </w:p>
    <w:p>
      <w:pPr>
        <w:pStyle w:val="Normal"/>
        <w:numPr>
          <w:ilvl w:val="0"/>
          <w:numId w:val="14"/>
        </w:numPr>
        <w:ind w:hanging="360" w:start="1440" w:end="0"/>
        <w:rPr>
          <w:sz w:val="24"/>
        </w:rPr>
      </w:pPr>
      <w:r>
        <w:rPr>
          <w:sz w:val="24"/>
        </w:rPr>
        <w:t xml:space="preserve">Place in this fund all new transportation dollars identified in the 2001 and subsequent legislative sessions, to be used to service debt bonds dedicated to transportation infrastructure development incurred through the issuance of general obligation or revenue bonds of the state. </w:t>
      </w:r>
    </w:p>
    <w:p>
      <w:pPr>
        <w:pStyle w:val="Normal"/>
        <w:ind w:start="1080" w:end="0"/>
        <w:rPr/>
      </w:pPr>
      <w:r>
        <w:rPr>
          <w:b/>
          <w:sz w:val="24"/>
        </w:rPr>
        <w:t xml:space="preserve">CONSTITUTIONAL CHANGE REQUIRED:  </w:t>
      </w:r>
      <w:r>
        <w:rPr>
          <w:sz w:val="24"/>
        </w:rPr>
        <w:t>This will require 2/3 vote of the Legislature and a constitutional amendment approved by the general electorate.</w:t>
      </w:r>
    </w:p>
    <w:p>
      <w:pPr>
        <w:pStyle w:val="Normal"/>
        <w:ind w:start="540" w:end="0"/>
        <w:rPr>
          <w:b/>
          <w:bCs/>
          <w:sz w:val="24"/>
        </w:rPr>
      </w:pPr>
      <w:r>
        <w:rPr>
          <w:b/>
          <w:bCs/>
          <w:sz w:val="24"/>
        </w:rPr>
      </w:r>
    </w:p>
    <w:p>
      <w:pPr>
        <w:pStyle w:val="BodyTextIndent"/>
        <w:ind w:hanging="720" w:start="1440" w:end="0"/>
        <w:rPr/>
      </w:pPr>
      <w:r>
        <w:rPr/>
        <w:t>C.</w:t>
        <w:tab/>
        <w:t>Establish a minimally acceptable performance standard for the Texas Transportation System and an investment plan to achieve it</w:t>
      </w:r>
    </w:p>
    <w:p>
      <w:pPr>
        <w:pStyle w:val="Normal"/>
        <w:numPr>
          <w:ilvl w:val="0"/>
          <w:numId w:val="19"/>
        </w:numPr>
        <w:tabs>
          <w:tab w:val="clear" w:pos="720"/>
          <w:tab w:val="left" w:pos="1440" w:leader="none"/>
        </w:tabs>
        <w:ind w:hanging="360" w:start="1440" w:end="0"/>
        <w:rPr>
          <w:sz w:val="24"/>
        </w:rPr>
      </w:pPr>
      <w:r>
        <w:rPr>
          <w:sz w:val="24"/>
        </w:rPr>
        <w:t xml:space="preserve">Texas does not have minimally acceptable performance standards for its transportation system. </w:t>
      </w:r>
    </w:p>
    <w:p>
      <w:pPr>
        <w:pStyle w:val="Normal"/>
        <w:numPr>
          <w:ilvl w:val="0"/>
          <w:numId w:val="19"/>
        </w:numPr>
        <w:tabs>
          <w:tab w:val="clear" w:pos="720"/>
          <w:tab w:val="left" w:pos="1440" w:leader="none"/>
        </w:tabs>
        <w:ind w:hanging="360" w:start="1440" w:end="0"/>
        <w:rPr>
          <w:b/>
          <w:bCs/>
          <w:sz w:val="24"/>
        </w:rPr>
      </w:pPr>
      <w:r>
        <w:rPr>
          <w:sz w:val="24"/>
        </w:rPr>
        <w:t>The proposal is to identify performance criteria to measure mobility, access and safety of the transportation system, to use those criteria to establish minimally acceptable levels of performance and to establish an investment plan that will over time fund improvements to achieve the acceptable level of performance.</w:t>
      </w:r>
    </w:p>
    <w:p>
      <w:pPr>
        <w:pStyle w:val="Normal"/>
        <w:tabs>
          <w:tab w:val="clear" w:pos="720"/>
          <w:tab w:val="left" w:pos="900" w:leader="none"/>
        </w:tabs>
        <w:ind w:start="540" w:end="0"/>
        <w:rPr>
          <w:b/>
          <w:bCs/>
          <w:sz w:val="24"/>
        </w:rPr>
      </w:pPr>
      <w:r>
        <w:rPr>
          <w:b/>
          <w:bCs/>
          <w:sz w:val="24"/>
        </w:rPr>
      </w:r>
    </w:p>
    <w:p>
      <w:pPr>
        <w:pStyle w:val="BodyTextIndent"/>
        <w:ind w:hanging="720" w:start="1440" w:end="0"/>
        <w:rPr/>
      </w:pPr>
      <w:r>
        <w:rPr/>
        <w:t>D.</w:t>
        <w:tab/>
        <w:t>Issue Grant Anticipation Revenue (GARVEE) bonds to accelerate implementation of transportation projects</w:t>
      </w:r>
    </w:p>
    <w:p>
      <w:pPr>
        <w:pStyle w:val="Normal"/>
        <w:numPr>
          <w:ilvl w:val="0"/>
          <w:numId w:val="8"/>
        </w:numPr>
        <w:ind w:hanging="360" w:start="1440" w:end="0"/>
        <w:rPr>
          <w:sz w:val="24"/>
        </w:rPr>
      </w:pPr>
      <w:r>
        <w:rPr>
          <w:sz w:val="24"/>
        </w:rPr>
        <w:t xml:space="preserve">These bonds involve a pledge of the future revenue stream from federal transportation funding coming to Texas via the federal surface transportation program. </w:t>
      </w:r>
    </w:p>
    <w:p>
      <w:pPr>
        <w:pStyle w:val="Normal"/>
        <w:ind w:start="1440" w:end="0"/>
        <w:rPr/>
      </w:pPr>
      <w:r>
        <w:rPr>
          <w:b/>
          <w:sz w:val="24"/>
        </w:rPr>
        <w:t xml:space="preserve">CONSTITUTIONAL CHANGE REQUIRED:  </w:t>
      </w:r>
      <w:r>
        <w:rPr>
          <w:sz w:val="24"/>
        </w:rPr>
        <w:t>This will require 2/3 vote of the Legislature and a constitutional amendment approved by the general electorate.</w:t>
      </w:r>
    </w:p>
    <w:p>
      <w:pPr>
        <w:pStyle w:val="Normal"/>
        <w:ind w:start="540" w:end="0"/>
        <w:rPr>
          <w:b/>
          <w:bCs/>
          <w:sz w:val="24"/>
        </w:rPr>
      </w:pPr>
      <w:r>
        <w:rPr>
          <w:b/>
          <w:bCs/>
          <w:sz w:val="24"/>
        </w:rPr>
      </w:r>
    </w:p>
    <w:p>
      <w:pPr>
        <w:pStyle w:val="BodyTextIndent"/>
        <w:ind w:hanging="720" w:start="1440" w:end="0"/>
        <w:rPr/>
      </w:pPr>
      <w:r>
        <w:rPr/>
        <w:t>E.</w:t>
        <w:tab/>
        <w:t>Encourage TxDOT to market its right-of-way to private utility providers for microwave towers, fiber optic cable, etc.</w:t>
      </w:r>
    </w:p>
    <w:p>
      <w:pPr>
        <w:pStyle w:val="Normal"/>
        <w:numPr>
          <w:ilvl w:val="0"/>
          <w:numId w:val="5"/>
        </w:numPr>
        <w:ind w:hanging="360" w:start="1440" w:end="0"/>
        <w:rPr>
          <w:b/>
          <w:bCs/>
          <w:sz w:val="24"/>
        </w:rPr>
      </w:pPr>
      <w:r>
        <w:rPr>
          <w:sz w:val="24"/>
        </w:rPr>
        <w:t>Dedicate revenue derived from highway right-of-way licensing or leasing to State Highway Fund 006.</w:t>
      </w:r>
    </w:p>
    <w:p>
      <w:pPr>
        <w:pStyle w:val="Normal"/>
        <w:ind w:start="360" w:end="0"/>
        <w:rPr>
          <w:b/>
          <w:bCs/>
          <w:sz w:val="24"/>
        </w:rPr>
      </w:pPr>
      <w:r>
        <w:rPr>
          <w:b/>
          <w:bCs/>
          <w:sz w:val="24"/>
        </w:rPr>
      </w:r>
    </w:p>
    <w:p>
      <w:pPr>
        <w:pStyle w:val="Normal"/>
        <w:ind w:hanging="720" w:start="1440" w:end="0"/>
        <w:rPr>
          <w:b/>
          <w:bCs/>
          <w:sz w:val="24"/>
        </w:rPr>
      </w:pPr>
      <w:r>
        <w:rPr>
          <w:b/>
          <w:bCs/>
          <w:sz w:val="24"/>
        </w:rPr>
        <w:t>F.</w:t>
        <w:tab/>
        <w:t>Allow TxDOT to utilize design-build procurement on a limited trial basis.</w:t>
      </w:r>
    </w:p>
    <w:p>
      <w:pPr>
        <w:pStyle w:val="Normal"/>
        <w:numPr>
          <w:ilvl w:val="0"/>
          <w:numId w:val="22"/>
        </w:numPr>
        <w:ind w:hanging="360" w:start="1440" w:end="0"/>
        <w:rPr>
          <w:sz w:val="24"/>
        </w:rPr>
      </w:pPr>
      <w:r>
        <w:rPr>
          <w:sz w:val="24"/>
        </w:rPr>
        <w:t>Utilized on a limited basis only, design-build offers the opportunity to complete a project faster, at potentially a lower cost.</w:t>
      </w:r>
    </w:p>
    <w:p>
      <w:pPr>
        <w:pStyle w:val="Normal"/>
        <w:numPr>
          <w:ilvl w:val="0"/>
          <w:numId w:val="22"/>
        </w:numPr>
        <w:ind w:hanging="360" w:start="1440" w:end="0"/>
        <w:rPr>
          <w:b/>
          <w:bCs/>
          <w:sz w:val="24"/>
        </w:rPr>
      </w:pPr>
      <w:r>
        <w:rPr>
          <w:sz w:val="24"/>
        </w:rPr>
        <w:t>Construction is able to begin before the design is complete, helping to speed delivery of the product.</w:t>
      </w:r>
    </w:p>
    <w:p>
      <w:pPr>
        <w:pStyle w:val="Normal"/>
        <w:numPr>
          <w:ilvl w:val="0"/>
          <w:numId w:val="22"/>
        </w:numPr>
        <w:ind w:hanging="360" w:start="1440" w:end="0"/>
        <w:rPr>
          <w:b/>
          <w:bCs/>
          <w:sz w:val="24"/>
        </w:rPr>
      </w:pPr>
      <w:r>
        <w:rPr>
          <w:sz w:val="24"/>
        </w:rPr>
        <w:t>The TxDOT has defined proposed legislation for this topic.</w:t>
      </w:r>
    </w:p>
    <w:p>
      <w:pPr>
        <w:pStyle w:val="Normal"/>
        <w:ind w:start="540" w:end="0"/>
        <w:rPr>
          <w:b/>
          <w:bCs/>
          <w:sz w:val="24"/>
        </w:rPr>
      </w:pPr>
      <w:r>
        <w:rPr>
          <w:b/>
          <w:bCs/>
          <w:sz w:val="24"/>
        </w:rPr>
      </w:r>
    </w:p>
    <w:p>
      <w:pPr>
        <w:pStyle w:val="Normal"/>
        <w:tabs>
          <w:tab w:val="clear" w:pos="720"/>
          <w:tab w:val="left" w:pos="360" w:leader="none"/>
        </w:tabs>
        <w:autoSpaceDE w:val="false"/>
        <w:spacing w:lineRule="auto" w:line="221"/>
        <w:ind w:hanging="360" w:start="360" w:end="0"/>
        <w:jc w:val="both"/>
        <w:rPr>
          <w:b/>
          <w:bCs/>
          <w:sz w:val="24"/>
        </w:rPr>
      </w:pPr>
      <w:r>
        <w:rPr>
          <w:b/>
          <w:bCs/>
          <w:sz w:val="24"/>
        </w:rPr>
      </w:r>
    </w:p>
    <w:p>
      <w:pPr>
        <w:pStyle w:val="Normal"/>
        <w:tabs>
          <w:tab w:val="clear" w:pos="720"/>
          <w:tab w:val="left" w:pos="360" w:leader="none"/>
        </w:tabs>
        <w:autoSpaceDE w:val="false"/>
        <w:spacing w:lineRule="auto" w:line="221"/>
        <w:ind w:hanging="360" w:start="360" w:end="0"/>
        <w:jc w:val="both"/>
        <w:rPr>
          <w:b/>
          <w:bCs/>
          <w:sz w:val="24"/>
          <w:szCs w:val="18"/>
        </w:rPr>
      </w:pPr>
      <w:r>
        <w:rPr>
          <w:b/>
          <w:bCs/>
          <w:sz w:val="24"/>
        </w:rPr>
        <w:t>IV.</w:t>
        <w:tab/>
        <w:tab/>
        <w:t>Increase certain transportation related fees, permits, and sanctions</w:t>
      </w:r>
    </w:p>
    <w:p>
      <w:pPr>
        <w:pStyle w:val="Normal"/>
        <w:ind w:start="360" w:end="0"/>
        <w:rPr>
          <w:b/>
          <w:bCs/>
          <w:sz w:val="24"/>
          <w:szCs w:val="18"/>
        </w:rPr>
      </w:pPr>
      <w:r>
        <w:rPr>
          <w:b/>
          <w:bCs/>
          <w:sz w:val="24"/>
          <w:szCs w:val="18"/>
        </w:rPr>
      </w:r>
    </w:p>
    <w:p>
      <w:pPr>
        <w:pStyle w:val="Normal"/>
        <w:ind w:start="720" w:end="0"/>
        <w:rPr>
          <w:b/>
          <w:bCs/>
          <w:sz w:val="24"/>
        </w:rPr>
      </w:pPr>
      <w:r>
        <w:rPr>
          <w:b/>
          <w:bCs/>
          <w:sz w:val="24"/>
        </w:rPr>
        <w:t>A.</w:t>
        <w:tab/>
        <w:t>Increase the permit fee for overweight vehicles</w:t>
      </w:r>
    </w:p>
    <w:p>
      <w:pPr>
        <w:pStyle w:val="Normal"/>
        <w:numPr>
          <w:ilvl w:val="0"/>
          <w:numId w:val="12"/>
        </w:numPr>
        <w:ind w:hanging="360" w:start="1440" w:end="0"/>
        <w:rPr>
          <w:sz w:val="24"/>
        </w:rPr>
      </w:pPr>
      <w:r>
        <w:rPr>
          <w:sz w:val="24"/>
        </w:rPr>
        <w:t>Overweight trucks perform the greatest damage to our roadway infrastructure.  A single 80,000 lb truck does as much damage as 3000 cars.</w:t>
      </w:r>
    </w:p>
    <w:p>
      <w:pPr>
        <w:pStyle w:val="Normal"/>
        <w:numPr>
          <w:ilvl w:val="0"/>
          <w:numId w:val="12"/>
        </w:numPr>
        <w:ind w:hanging="360" w:start="1440" w:end="0"/>
        <w:rPr>
          <w:sz w:val="24"/>
        </w:rPr>
      </w:pPr>
      <w:r>
        <w:rPr>
          <w:sz w:val="24"/>
        </w:rPr>
        <w:t>This proposal is to increase the base 2060 permit rate to $2000.</w:t>
      </w:r>
    </w:p>
    <w:p>
      <w:pPr>
        <w:pStyle w:val="Normal"/>
        <w:ind w:hanging="720" w:start="1800" w:end="0"/>
        <w:rPr/>
      </w:pPr>
      <w:r>
        <w:rPr>
          <w:b/>
          <w:sz w:val="24"/>
        </w:rPr>
        <w:t xml:space="preserve">EFFECT: </w:t>
      </w:r>
      <w:r>
        <w:rPr>
          <w:sz w:val="24"/>
        </w:rPr>
        <w:t>$30 million annual increase in State Highway Fund 006</w:t>
      </w:r>
    </w:p>
    <w:p>
      <w:pPr>
        <w:pStyle w:val="Normal"/>
        <w:ind w:hanging="720" w:start="1260" w:end="0"/>
        <w:rPr>
          <w:b/>
          <w:bCs/>
          <w:sz w:val="24"/>
        </w:rPr>
      </w:pPr>
      <w:r>
        <w:rPr>
          <w:b/>
          <w:bCs/>
          <w:sz w:val="24"/>
        </w:rPr>
      </w:r>
    </w:p>
    <w:p>
      <w:pPr>
        <w:pStyle w:val="Normal"/>
        <w:ind w:start="720" w:end="0"/>
        <w:rPr>
          <w:b/>
          <w:bCs/>
          <w:sz w:val="24"/>
        </w:rPr>
      </w:pPr>
      <w:r>
        <w:rPr>
          <w:b/>
          <w:bCs/>
          <w:sz w:val="24"/>
        </w:rPr>
        <w:t>B.</w:t>
        <w:tab/>
        <w:t>Increase sanctions for overweight trucks.</w:t>
      </w:r>
    </w:p>
    <w:p>
      <w:pPr>
        <w:pStyle w:val="Heading1"/>
        <w:numPr>
          <w:ilvl w:val="0"/>
          <w:numId w:val="13"/>
        </w:numPr>
        <w:ind w:hanging="360" w:start="1440" w:end="0"/>
        <w:rPr>
          <w:b w:val="false"/>
          <w:bCs w:val="false"/>
        </w:rPr>
      </w:pPr>
      <w:r>
        <w:rPr>
          <w:b w:val="false"/>
          <w:bCs w:val="false"/>
        </w:rPr>
        <w:t>In a similar fashion as item A under this heading, this proposal would increase the sanctions for vehicles not in compliance with current vehicle code.  The reasoning behind this is to decrease the number of violators doing significant damage to the existing infrastructure and to increase the revenue to the State Highway Fund.</w:t>
      </w:r>
    </w:p>
    <w:p>
      <w:pPr>
        <w:pStyle w:val="Normal"/>
        <w:rPr>
          <w:b/>
          <w:bCs/>
          <w:sz w:val="24"/>
        </w:rPr>
      </w:pPr>
      <w:r>
        <w:rPr>
          <w:b/>
          <w:bCs/>
          <w:sz w:val="24"/>
        </w:rPr>
      </w:r>
    </w:p>
    <w:p>
      <w:pPr>
        <w:pStyle w:val="Normal"/>
        <w:rPr>
          <w:b/>
          <w:bCs/>
          <w:sz w:val="24"/>
        </w:rPr>
      </w:pPr>
      <w:r>
        <w:rPr>
          <w:b/>
          <w:bCs/>
          <w:sz w:val="24"/>
        </w:rPr>
      </w:r>
    </w:p>
    <w:p>
      <w:pPr>
        <w:pStyle w:val="Normal"/>
        <w:ind w:hanging="720" w:start="720" w:end="0"/>
        <w:rPr>
          <w:b/>
          <w:bCs/>
          <w:sz w:val="24"/>
        </w:rPr>
      </w:pPr>
      <w:r>
        <w:rPr>
          <w:b/>
          <w:bCs/>
          <w:sz w:val="24"/>
        </w:rPr>
        <w:t xml:space="preserve">V. </w:t>
        <w:tab/>
        <w:t>Move the point of collection of motor fuel taxes from the distributor to the terminal rack.</w:t>
      </w:r>
    </w:p>
    <w:p>
      <w:pPr>
        <w:pStyle w:val="Normal"/>
        <w:ind w:hanging="720" w:start="720" w:end="0"/>
        <w:rPr>
          <w:b/>
          <w:bCs/>
          <w:sz w:val="24"/>
        </w:rPr>
      </w:pPr>
      <w:r>
        <w:rPr>
          <w:b/>
          <w:bCs/>
          <w:sz w:val="24"/>
        </w:rPr>
      </w:r>
    </w:p>
    <w:p>
      <w:pPr>
        <w:pStyle w:val="Normal"/>
        <w:ind w:start="720" w:end="0"/>
        <w:rPr>
          <w:sz w:val="24"/>
        </w:rPr>
      </w:pPr>
      <w:r>
        <w:rPr>
          <w:sz w:val="24"/>
        </w:rPr>
        <w:t xml:space="preserve">Currently there are two separate collection systems for tax on motor fuels in Texas, one for the state tax and one for the federal tax, which is cumbersome and confusing. The state tax is collected at the distributor level and the federal tax is collected at the terminal rack.  </w:t>
      </w:r>
    </w:p>
    <w:p>
      <w:pPr>
        <w:pStyle w:val="Normal"/>
        <w:ind w:start="720" w:end="0"/>
        <w:rPr>
          <w:sz w:val="24"/>
        </w:rPr>
      </w:pPr>
      <w:r>
        <w:rPr>
          <w:sz w:val="24"/>
        </w:rPr>
      </w:r>
    </w:p>
    <w:p>
      <w:pPr>
        <w:pStyle w:val="Normal"/>
        <w:numPr>
          <w:ilvl w:val="0"/>
          <w:numId w:val="2"/>
        </w:numPr>
        <w:ind w:hanging="360" w:start="1080" w:end="0"/>
        <w:rPr>
          <w:sz w:val="24"/>
        </w:rPr>
      </w:pPr>
      <w:r>
        <w:rPr>
          <w:sz w:val="24"/>
        </w:rPr>
        <w:t xml:space="preserve">The proposal is to unify the two practices into one, so that both the state and the federal tax on motor fuels would be collected at the rack. </w:t>
      </w:r>
    </w:p>
    <w:p>
      <w:pPr>
        <w:pStyle w:val="Normal"/>
        <w:numPr>
          <w:ilvl w:val="0"/>
          <w:numId w:val="2"/>
        </w:numPr>
        <w:ind w:hanging="360" w:start="1080" w:end="0"/>
        <w:rPr>
          <w:sz w:val="24"/>
        </w:rPr>
      </w:pPr>
      <w:r>
        <w:rPr>
          <w:sz w:val="24"/>
        </w:rPr>
        <w:t xml:space="preserve">The experience of other states that have made this change is that tax collections increase. </w:t>
      </w:r>
    </w:p>
    <w:p>
      <w:pPr>
        <w:pStyle w:val="Normal"/>
        <w:ind w:hanging="720" w:start="1440" w:end="0"/>
        <w:rPr>
          <w:b/>
          <w:bCs/>
          <w:sz w:val="24"/>
        </w:rPr>
      </w:pPr>
      <w:r>
        <w:rPr>
          <w:b/>
          <w:sz w:val="24"/>
        </w:rPr>
        <w:t xml:space="preserve">EFFECT:  </w:t>
      </w:r>
      <w:r>
        <w:rPr>
          <w:sz w:val="24"/>
        </w:rPr>
        <w:t>$50-75 million annual increase in State Highway Fund 006</w:t>
      </w:r>
    </w:p>
    <w:p>
      <w:pPr>
        <w:pStyle w:val="Normal"/>
        <w:rPr>
          <w:b/>
          <w:bCs/>
          <w:sz w:val="24"/>
        </w:rPr>
      </w:pPr>
      <w:r>
        <w:rPr>
          <w:b/>
          <w:bCs/>
          <w:sz w:val="24"/>
        </w:rPr>
      </w:r>
    </w:p>
    <w:p>
      <w:pPr>
        <w:pStyle w:val="Normal"/>
        <w:rPr>
          <w:b/>
          <w:bCs/>
          <w:sz w:val="24"/>
        </w:rPr>
      </w:pPr>
      <w:r>
        <w:rPr>
          <w:b/>
          <w:bCs/>
          <w:sz w:val="24"/>
        </w:rPr>
      </w:r>
    </w:p>
    <w:p>
      <w:pPr>
        <w:pStyle w:val="Normal"/>
        <w:rPr>
          <w:sz w:val="24"/>
        </w:rPr>
      </w:pPr>
      <w:r>
        <w:rPr>
          <w:b/>
          <w:bCs/>
          <w:sz w:val="24"/>
        </w:rPr>
        <w:t>VI.</w:t>
        <w:tab/>
        <w:t>Increase appropriations to the Lateral Road and Bridge Fund.</w:t>
      </w:r>
    </w:p>
    <w:p>
      <w:pPr>
        <w:pStyle w:val="Normal"/>
        <w:autoSpaceDE w:val="false"/>
        <w:spacing w:lineRule="auto" w:line="221"/>
        <w:jc w:val="both"/>
        <w:rPr>
          <w:b/>
          <w:bCs/>
          <w:sz w:val="24"/>
          <w:szCs w:val="18"/>
        </w:rPr>
      </w:pPr>
      <w:r>
        <w:rPr>
          <w:b/>
          <w:bCs/>
          <w:sz w:val="24"/>
          <w:szCs w:val="18"/>
        </w:rPr>
      </w:r>
    </w:p>
    <w:p>
      <w:pPr>
        <w:pStyle w:val="NormalWeb"/>
        <w:ind w:start="720" w:end="0"/>
        <w:rPr>
          <w:b/>
          <w:bCs/>
          <w:szCs w:val="18"/>
        </w:rPr>
      </w:pPr>
      <w:r>
        <w:rPr/>
        <w:t>Increase appropriations to the Lateral Road and Bridge Fund, to at least $30 million per year, coming from sources outside of State Highway Fund 006 and/or from any of the “new identified transportation funds” as outlined in this legislative agenda, and revise the allocation formula for Lateral Road and Bridge Fund monies giving 50% weight to population and 50% to county lane miles, with each county receiving an, allocation not less than 150% of the amount it received in the previous biennium.</w:t>
      </w:r>
    </w:p>
    <w:p>
      <w:pPr>
        <w:pStyle w:val="Normal"/>
        <w:autoSpaceDE w:val="false"/>
        <w:spacing w:lineRule="auto" w:line="221"/>
        <w:jc w:val="both"/>
        <w:rPr>
          <w:b/>
          <w:bCs/>
          <w:sz w:val="24"/>
          <w:szCs w:val="18"/>
        </w:rPr>
      </w:pPr>
      <w:r>
        <w:rPr>
          <w:b/>
          <w:bCs/>
          <w:sz w:val="24"/>
          <w:szCs w:val="18"/>
        </w:rPr>
      </w:r>
    </w:p>
    <w:p>
      <w:pPr>
        <w:pStyle w:val="Normal"/>
        <w:autoSpaceDE w:val="false"/>
        <w:spacing w:lineRule="auto" w:line="221"/>
        <w:ind w:hanging="720" w:start="720" w:end="0"/>
        <w:jc w:val="both"/>
        <w:rPr>
          <w:b/>
          <w:bCs/>
          <w:sz w:val="24"/>
          <w:szCs w:val="18"/>
        </w:rPr>
      </w:pPr>
      <w:r>
        <w:rPr>
          <w:b/>
          <w:bCs/>
          <w:sz w:val="24"/>
          <w:szCs w:val="18"/>
        </w:rPr>
      </w:r>
    </w:p>
    <w:p>
      <w:pPr>
        <w:pStyle w:val="Normal"/>
        <w:autoSpaceDE w:val="false"/>
        <w:spacing w:lineRule="auto" w:line="221"/>
        <w:ind w:hanging="720" w:start="720" w:end="0"/>
        <w:jc w:val="both"/>
        <w:rPr/>
      </w:pPr>
      <w:r>
        <w:rPr>
          <w:b/>
          <w:bCs/>
          <w:sz w:val="24"/>
          <w:szCs w:val="18"/>
        </w:rPr>
        <w:t>VII.</w:t>
        <w:tab/>
      </w:r>
      <w:r>
        <w:rPr>
          <w:b/>
          <w:bCs/>
          <w:sz w:val="24"/>
        </w:rPr>
        <w:t>Amend the Development Corporation Act to include transportation as an allowable use.</w:t>
      </w:r>
    </w:p>
    <w:p>
      <w:pPr>
        <w:pStyle w:val="Normal"/>
        <w:autoSpaceDE w:val="false"/>
        <w:spacing w:lineRule="auto" w:line="221"/>
        <w:jc w:val="both"/>
        <w:rPr>
          <w:b/>
          <w:bCs/>
          <w:sz w:val="24"/>
        </w:rPr>
      </w:pPr>
      <w:r>
        <w:rPr>
          <w:b/>
          <w:bCs/>
          <w:sz w:val="24"/>
        </w:rPr>
      </w:r>
    </w:p>
    <w:p>
      <w:pPr>
        <w:pStyle w:val="Normal"/>
        <w:autoSpaceDE w:val="false"/>
        <w:spacing w:lineRule="auto" w:line="221"/>
        <w:ind w:start="720" w:end="0"/>
        <w:jc w:val="both"/>
        <w:rPr>
          <w:b/>
          <w:bCs/>
          <w:sz w:val="24"/>
          <w:szCs w:val="18"/>
        </w:rPr>
      </w:pPr>
      <w:r>
        <w:rPr>
          <w:sz w:val="24"/>
        </w:rPr>
        <w:t>Amend the Development Corporation Act to include transportation as an allowable use under subsections 4a and 4b and permit local governments by local option election to enact a sales tax for transportation, including transit, within the existing 8.25-cent sales tax cap.</w:t>
      </w:r>
    </w:p>
    <w:p>
      <w:pPr>
        <w:pStyle w:val="Heading6"/>
        <w:numPr>
          <w:ilvl w:val="0"/>
          <w:numId w:val="0"/>
        </w:numPr>
        <w:tabs>
          <w:tab w:val="clear" w:pos="720"/>
          <w:tab w:val="left" w:pos="360" w:leader="none"/>
        </w:tabs>
        <w:ind w:hanging="0" w:start="0"/>
        <w:rPr>
          <w:b w:val="false"/>
          <w:bCs w:val="false"/>
          <w:sz w:val="24"/>
          <w:szCs w:val="18"/>
        </w:rPr>
      </w:pPr>
      <w:r>
        <w:rPr>
          <w:b w:val="false"/>
          <w:bCs w:val="false"/>
          <w:sz w:val="24"/>
          <w:szCs w:val="18"/>
          <w:rPrChange w:id="0" w:author="Unknown" w:date="2000-09-07T10:03:00Z"/>
        </w:rPr>
        <w:rPrChange w:id="0" w:author="Unknown" w:date="2000-09-07T10:03:00Z"/>
      </w:r>
    </w:p>
    <w:p>
      <w:pPr>
        <w:pStyle w:val="Normal"/>
        <w:rPr>
          <w:sz w:val="24"/>
        </w:rPr>
      </w:pPr>
      <w:r>
        <w:rPr>
          <w:sz w:val="24"/>
        </w:rPr>
      </w:r>
    </w:p>
    <w:p>
      <w:pPr>
        <w:pStyle w:val="Heading6"/>
        <w:numPr>
          <w:ilvl w:val="0"/>
          <w:numId w:val="0"/>
        </w:numPr>
        <w:tabs>
          <w:tab w:val="clear" w:pos="720"/>
          <w:tab w:val="left" w:pos="360" w:leader="none"/>
        </w:tabs>
        <w:ind w:hanging="0" w:start="0"/>
        <w:rPr/>
      </w:pPr>
      <w:r>
        <w:rPr>
          <w:rPrChange w:id="0" w:author="Unknown" w:date="2000-09-07T10:03:00Z"/>
        </w:rPr>
        <w:t>VIII.</w:t>
        <w:tab/>
      </w:r>
      <w:r>
        <w:rPr>
          <w:rPrChange w:id="0" w:author="Unknown" w:date="0-00-00T00:00:00Z"/>
        </w:rPr>
        <w:t>Allow creation and regionalization of port authorities</w:t>
      </w:r>
    </w:p>
    <w:p>
      <w:pPr>
        <w:pStyle w:val="Normal"/>
        <w:autoSpaceDE w:val="false"/>
        <w:spacing w:lineRule="auto" w:line="221"/>
        <w:jc w:val="both"/>
        <w:rPr>
          <w:b/>
          <w:bCs/>
          <w:sz w:val="24"/>
          <w:szCs w:val="18"/>
        </w:rPr>
      </w:pPr>
      <w:r>
        <w:rPr>
          <w:b/>
          <w:bCs/>
          <w:sz w:val="24"/>
          <w:szCs w:val="18"/>
        </w:rPr>
      </w:r>
    </w:p>
    <w:p>
      <w:pPr>
        <w:pStyle w:val="Heading"/>
        <w:ind w:start="720" w:end="0"/>
        <w:jc w:val="both"/>
        <w:rPr/>
      </w:pPr>
      <w:r>
        <w:rPr>
          <w:rFonts w:cs="Times New Roman" w:ascii="Times New Roman" w:hAnsi="Times New Roman"/>
          <w:b w:val="false"/>
          <w:bCs/>
          <w:sz w:val="24"/>
        </w:rPr>
        <w:t>In the 76</w:t>
      </w:r>
      <w:r>
        <w:rPr>
          <w:rFonts w:cs="Times New Roman" w:ascii="Times New Roman" w:hAnsi="Times New Roman"/>
          <w:b w:val="false"/>
          <w:bCs/>
          <w:sz w:val="24"/>
          <w:vertAlign w:val="superscript"/>
        </w:rPr>
        <w:t>th</w:t>
      </w:r>
      <w:r>
        <w:rPr>
          <w:rFonts w:cs="Times New Roman" w:ascii="Times New Roman" w:hAnsi="Times New Roman"/>
          <w:b w:val="false"/>
          <w:bCs/>
          <w:sz w:val="24"/>
        </w:rPr>
        <w:t xml:space="preserve"> State Legislature, the Port of Houston and Port of Galveston laid the foundation for merging of the two ports, and other regional ports.  Legislation was passed that allowed regionalization of waterway districts.  The Greater Houston Partnership supported this legislation in the form of a resolution passed by the Board on April 20, 1999.  The merging of the ports reduces duplication on both ends, and makes the port authority stronger and more diversified, providing additional strength to compete in a global market.  The Greater Houston Partnership reaffirms its position that encourages the two port authorities to continue discussions to see if regionalization produces benefits as mentioned above.  </w:t>
      </w:r>
    </w:p>
    <w:p>
      <w:pPr>
        <w:pStyle w:val="Heading"/>
        <w:jc w:val="both"/>
        <w:rPr>
          <w:rFonts w:ascii="Times New Roman" w:hAnsi="Times New Roman" w:cs="Times New Roman"/>
          <w:b w:val="false"/>
          <w:bCs/>
          <w:sz w:val="24"/>
        </w:rPr>
      </w:pPr>
      <w:r>
        <w:rPr>
          <w:rFonts w:cs="Times New Roman" w:ascii="Times New Roman" w:hAnsi="Times New Roman"/>
          <w:b w:val="false"/>
          <w:bCs/>
          <w:sz w:val="24"/>
        </w:rPr>
      </w:r>
    </w:p>
    <w:p>
      <w:pPr>
        <w:pStyle w:val="Normal"/>
        <w:autoSpaceDE w:val="false"/>
        <w:spacing w:lineRule="auto" w:line="221"/>
        <w:ind w:start="720" w:end="0"/>
        <w:jc w:val="both"/>
        <w:rPr>
          <w:sz w:val="24"/>
        </w:rPr>
      </w:pPr>
      <w:r>
        <w:rPr>
          <w:sz w:val="24"/>
        </w:rPr>
        <w:t>The Greater Houston Partnership has performed extensive studies related to the benefits of creation of a special unit of government for the purpose of operating the Houston Airport System.  These studies performed in 1992 determined that by creating such a unit of government the significant advantages be realized and will help assure the best and most competitive airport system possible.  The Greater Houston Partnership encourages continued discussion to see if a special unit of government or consolidation of airport activities under an existing authority would lead to benefits as described in the 1992 report.</w:t>
      </w:r>
    </w:p>
    <w:p>
      <w:pPr>
        <w:pStyle w:val="Normal"/>
        <w:autoSpaceDE w:val="false"/>
        <w:spacing w:lineRule="auto" w:line="221"/>
        <w:jc w:val="both"/>
        <w:rPr>
          <w:b/>
          <w:bCs/>
          <w:sz w:val="24"/>
          <w:szCs w:val="18"/>
        </w:rPr>
      </w:pPr>
      <w:r>
        <w:rPr>
          <w:b/>
          <w:bCs/>
          <w:sz w:val="24"/>
          <w:szCs w:val="18"/>
        </w:rPr>
      </w:r>
    </w:p>
    <w:p>
      <w:pPr>
        <w:pStyle w:val="Normal"/>
        <w:autoSpaceDE w:val="false"/>
        <w:spacing w:lineRule="auto" w:line="221"/>
        <w:jc w:val="both"/>
        <w:rPr>
          <w:b/>
          <w:bCs/>
          <w:sz w:val="24"/>
          <w:szCs w:val="18"/>
        </w:rPr>
      </w:pPr>
      <w:r>
        <w:rPr>
          <w:b/>
          <w:bCs/>
          <w:sz w:val="24"/>
          <w:szCs w:val="18"/>
        </w:rPr>
      </w:r>
    </w:p>
    <w:p>
      <w:pPr>
        <w:pStyle w:val="Normal"/>
        <w:tabs>
          <w:tab w:val="clear" w:pos="720"/>
          <w:tab w:val="left" w:pos="360" w:leader="none"/>
        </w:tabs>
        <w:autoSpaceDE w:val="false"/>
        <w:spacing w:lineRule="auto" w:line="221"/>
        <w:jc w:val="both"/>
        <w:rPr>
          <w:b/>
          <w:bCs/>
          <w:sz w:val="24"/>
          <w:szCs w:val="18"/>
        </w:rPr>
      </w:pPr>
      <w:r>
        <w:rPr>
          <w:b/>
          <w:bCs/>
          <w:sz w:val="24"/>
          <w:szCs w:val="18"/>
        </w:rPr>
        <w:t>IX.</w:t>
        <w:tab/>
        <w:tab/>
        <w:t>Allow establishment of and effective operation of regional water authorities</w:t>
      </w:r>
    </w:p>
    <w:p>
      <w:pPr>
        <w:pStyle w:val="Normal"/>
        <w:autoSpaceDE w:val="false"/>
        <w:spacing w:lineRule="auto" w:line="221"/>
        <w:jc w:val="both"/>
        <w:rPr>
          <w:b/>
          <w:bCs/>
          <w:sz w:val="24"/>
          <w:szCs w:val="18"/>
        </w:rPr>
      </w:pPr>
      <w:r>
        <w:rPr>
          <w:b/>
          <w:bCs/>
          <w:sz w:val="24"/>
          <w:szCs w:val="18"/>
        </w:rPr>
      </w:r>
    </w:p>
    <w:p>
      <w:pPr>
        <w:pStyle w:val="Heading"/>
        <w:ind w:start="720" w:end="0"/>
        <w:jc w:val="both"/>
        <w:rPr/>
      </w:pPr>
      <w:r>
        <w:rPr>
          <w:rFonts w:cs="Times New Roman" w:ascii="Times New Roman" w:hAnsi="Times New Roman"/>
          <w:b w:val="false"/>
          <w:bCs/>
          <w:sz w:val="24"/>
        </w:rPr>
        <w:t>The North Harris County Regional Water Authority (NHCRWA), was created in the 76</w:t>
      </w:r>
      <w:r>
        <w:rPr>
          <w:rFonts w:cs="Times New Roman" w:ascii="Times New Roman" w:hAnsi="Times New Roman"/>
          <w:b w:val="false"/>
          <w:bCs/>
          <w:sz w:val="24"/>
          <w:vertAlign w:val="superscript"/>
        </w:rPr>
        <w:t>th</w:t>
      </w:r>
      <w:r>
        <w:rPr>
          <w:rFonts w:cs="Times New Roman" w:ascii="Times New Roman" w:hAnsi="Times New Roman"/>
          <w:b w:val="false"/>
          <w:bCs/>
          <w:sz w:val="24"/>
        </w:rPr>
        <w:t xml:space="preserve"> Legislature.  In their quest to find reliable, affordable, clean surface water, NHCRWA will be submitting legislation related to right-of-way acquisition outside of its geographic boundaries.  The GHP supported the creation of the NHCRWA by resolution.  </w:t>
      </w:r>
    </w:p>
    <w:p>
      <w:pPr>
        <w:pStyle w:val="Heading"/>
        <w:ind w:start="720" w:end="0"/>
        <w:jc w:val="both"/>
        <w:rPr>
          <w:rFonts w:ascii="Times New Roman" w:hAnsi="Times New Roman" w:cs="Times New Roman"/>
          <w:b w:val="false"/>
          <w:bCs/>
          <w:sz w:val="24"/>
        </w:rPr>
      </w:pPr>
      <w:r>
        <w:rPr>
          <w:rFonts w:cs="Times New Roman" w:ascii="Times New Roman" w:hAnsi="Times New Roman"/>
          <w:b w:val="false"/>
          <w:bCs/>
          <w:sz w:val="24"/>
        </w:rPr>
      </w:r>
    </w:p>
    <w:p>
      <w:pPr>
        <w:pStyle w:val="Heading"/>
        <w:ind w:start="720" w:end="0"/>
        <w:jc w:val="both"/>
        <w:rPr>
          <w:rFonts w:ascii="Times New Roman" w:hAnsi="Times New Roman" w:cs="Times New Roman"/>
          <w:b w:val="false"/>
          <w:bCs/>
          <w:sz w:val="24"/>
        </w:rPr>
      </w:pPr>
      <w:r>
        <w:rPr>
          <w:rFonts w:cs="Times New Roman" w:ascii="Times New Roman" w:hAnsi="Times New Roman"/>
          <w:b w:val="false"/>
          <w:bCs/>
          <w:sz w:val="24"/>
        </w:rPr>
        <w:t>A steering committee comprised of representatives of Municipal Utility Districts on the west side of unincorporated Harris County have begun preliminary discussions about finding reliable, affordable, clean surface water.  Possibilities include developing a regional water authority similar to the NHCRWA; annexation into the NHCRWA; or utilization of the West Harris County Surface Water Supply Corporation.  The general consensus is that the west side of Harris County needs a larger entity in order to more equitably distribute the cost of the surface water distribution system.  The Greater Houston Partnership has not developed a specific position regarding this topic as the discussions are preliminary.</w:t>
      </w:r>
    </w:p>
    <w:p>
      <w:pPr>
        <w:pStyle w:val="Heading"/>
        <w:jc w:val="both"/>
        <w:rPr>
          <w:rFonts w:ascii="Times New Roman" w:hAnsi="Times New Roman" w:cs="Times New Roman"/>
          <w:b w:val="false"/>
          <w:bCs/>
          <w:sz w:val="24"/>
        </w:rPr>
      </w:pPr>
      <w:r>
        <w:rPr>
          <w:rFonts w:cs="Times New Roman" w:ascii="Times New Roman" w:hAnsi="Times New Roman"/>
          <w:b w:val="false"/>
          <w:bCs/>
          <w:sz w:val="24"/>
        </w:rPr>
      </w:r>
    </w:p>
    <w:p>
      <w:pPr>
        <w:pStyle w:val="Heading1"/>
        <w:ind w:hanging="0" w:start="0"/>
        <w:rPr/>
      </w:pPr>
      <w:r>
        <w:rPr/>
        <w:t>IMPLEMENTATION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t>Work in concert with allied stakeholders such as TEX-21, the Texas Transportation Funding Coalition, Texas Conference of Urban Counties, Metro 8 Chambers, NHCRWA, Harris-Galveston Coastal Subsidence District, Port of Houston, City of Houston, and Harris County, to advocate this transportation and infrastructure legislative agenda.  Communicate this position to the Governor, Lt. Governor, the House Speaker, and all members of the Texas Legislature.</w:t>
      </w:r>
    </w:p>
    <w:p>
      <w:pPr>
        <w:pStyle w:val="Normal"/>
        <w:tabs>
          <w:tab w:val="clear" w:pos="720"/>
          <w:tab w:val="left" w:pos="1440" w:leader="none"/>
        </w:tabs>
        <w:ind w:firstLine="720" w:end="0"/>
        <w:jc w:val="both"/>
        <w:rPr>
          <w:sz w:val="24"/>
        </w:rPr>
      </w:pPr>
      <w:r>
        <w:rPr>
          <w:sz w:val="24"/>
        </w:rPr>
      </w:r>
    </w:p>
    <w:p>
      <w:pPr>
        <w:pStyle w:val="Normal"/>
        <w:tabs>
          <w:tab w:val="clear" w:pos="720"/>
          <w:tab w:val="left" w:pos="1440" w:leader="none"/>
        </w:tabs>
        <w:jc w:val="both"/>
        <w:rPr>
          <w:sz w:val="24"/>
        </w:rPr>
      </w:pPr>
      <w:r>
        <w:rPr>
          <w:sz w:val="24"/>
        </w:rPr>
      </w:r>
    </w:p>
    <w:p>
      <w:pPr>
        <w:pStyle w:val="Heading4"/>
        <w:ind w:hanging="0" w:start="0"/>
        <w:rPr>
          <w:b w:val="false"/>
        </w:rPr>
      </w:pPr>
      <w:r>
        <w:rPr>
          <w:bCs w:val="false"/>
        </w:rPr>
        <w:t>POTENTIAL OPPOSITION</w:t>
      </w:r>
    </w:p>
    <w:p>
      <w:pPr>
        <w:pStyle w:val="Normal"/>
        <w:rPr>
          <w:b/>
          <w:sz w:val="24"/>
        </w:rPr>
      </w:pPr>
      <w:r>
        <w:rPr>
          <w:b/>
          <w:sz w:val="24"/>
        </w:rPr>
      </w:r>
    </w:p>
    <w:p>
      <w:pPr>
        <w:pStyle w:val="Normal"/>
        <w:jc w:val="both"/>
        <w:rPr/>
      </w:pPr>
      <w:r>
        <w:rPr>
          <w:sz w:val="24"/>
        </w:rPr>
        <w:t>Any potential diversion of funds from the Department of Public Safety (DPS) may cause opposition from the DPS.  However, given that the 76</w:t>
      </w:r>
      <w:r>
        <w:rPr>
          <w:sz w:val="24"/>
          <w:vertAlign w:val="superscript"/>
        </w:rPr>
        <w:t>th</w:t>
      </w:r>
      <w:r>
        <w:rPr>
          <w:sz w:val="24"/>
        </w:rPr>
        <w:t xml:space="preserve"> Legislature began to reallocate funds from the DPS back into the State Highway Fund 006, and that this focus is specifically on </w:t>
      </w:r>
      <w:r>
        <w:rPr>
          <w:b/>
          <w:bCs/>
          <w:sz w:val="24"/>
        </w:rPr>
        <w:t xml:space="preserve">non-transportation </w:t>
      </w:r>
      <w:r>
        <w:rPr>
          <w:sz w:val="24"/>
        </w:rPr>
        <w:t xml:space="preserve">related programs and expenditures, the support for this action should be greater than any perceived or actual opposition.  </w:t>
      </w:r>
    </w:p>
    <w:p>
      <w:pPr>
        <w:pStyle w:val="Normal"/>
        <w:jc w:val="both"/>
        <w:rPr>
          <w:sz w:val="24"/>
        </w:rPr>
      </w:pPr>
      <w:r>
        <w:rPr>
          <w:sz w:val="24"/>
        </w:rPr>
      </w:r>
    </w:p>
    <w:p>
      <w:pPr>
        <w:pStyle w:val="Normal"/>
        <w:jc w:val="both"/>
        <w:rPr/>
      </w:pPr>
      <w:r>
        <w:rPr>
          <w:sz w:val="24"/>
        </w:rPr>
        <w:t>Transportation bonding (SB 996 in the 76</w:t>
      </w:r>
      <w:r>
        <w:rPr>
          <w:sz w:val="24"/>
          <w:vertAlign w:val="superscript"/>
        </w:rPr>
        <w:t>th</w:t>
      </w:r>
      <w:r>
        <w:rPr>
          <w:sz w:val="24"/>
        </w:rPr>
        <w:t xml:space="preserve"> Legislature) was originally opposed by the Greater Houston Partnership by resolution in 1999, based upon the premise that the short-term effects of building projects was counter balanced by the long-term debt service requirements.  The current bonding proposal being endorsed by the Partnership is based upon any </w:t>
      </w:r>
      <w:r>
        <w:rPr>
          <w:b/>
          <w:bCs/>
          <w:sz w:val="24"/>
        </w:rPr>
        <w:t xml:space="preserve">additional </w:t>
      </w:r>
      <w:r>
        <w:rPr>
          <w:sz w:val="24"/>
        </w:rPr>
        <w:t xml:space="preserve">revenue to State Highway Fund 006 as endorsed above.  </w:t>
      </w:r>
    </w:p>
    <w:p>
      <w:pPr>
        <w:pStyle w:val="Normal"/>
        <w:jc w:val="both"/>
        <w:rPr>
          <w:sz w:val="24"/>
        </w:rPr>
      </w:pPr>
      <w:r>
        <w:rPr>
          <w:sz w:val="24"/>
        </w:rPr>
      </w:r>
    </w:p>
    <w:p>
      <w:pPr>
        <w:pStyle w:val="Normal"/>
        <w:jc w:val="both"/>
        <w:rPr>
          <w:sz w:val="24"/>
        </w:rPr>
      </w:pPr>
      <w:r>
        <w:rPr>
          <w:sz w:val="24"/>
        </w:rPr>
        <w:t>GARVEE bonds are opposed by the Association of General Contractors (AGC) on the premise that the short-term effects of building projects was counter balanced by the long-term debt service requirements.  Other states have utilized this some benefit, however, others have encumbered themselves so much in debt that the majority of the revenue received from the federal government now goes to pay debt service on the outstanding bonds.  The Texas Department of Transportation (TxDOT) in testimony before the State Affairs Committee stated that they would like this tool for use on a limited demonstration basis to determine the viability of the program.</w:t>
      </w:r>
    </w:p>
    <w:p>
      <w:pPr>
        <w:pStyle w:val="Normal"/>
        <w:jc w:val="both"/>
        <w:rPr>
          <w:sz w:val="24"/>
        </w:rPr>
      </w:pPr>
      <w:r>
        <w:rPr>
          <w:sz w:val="24"/>
        </w:rPr>
      </w:r>
    </w:p>
    <w:p>
      <w:pPr>
        <w:pStyle w:val="BodyText2"/>
        <w:rPr/>
      </w:pPr>
      <w:r>
        <w:rPr/>
        <w:t xml:space="preserve">Moving the point of collection of the motor fuel tax from the distributor level to the terminal level has received very vocal opposition by the distributors.  The key reason stated is that doing so would displace workers currently assigned the task of levying, collecting, and forwarding the tax to the state.  New tracking and reporting procedures were implemented in September 2000 as a result of SB 1547 (76th Session).  Given the recent implementation, there is not any data available to say whether or to what extent the new procedures have reduced tax avoidance/evasion.  It will probably be a year or longer before the effect of SB 1547 is understood.  The oil marketers say that SB 1547 will solve the problem.  TxDOT, based upon their research from other states, says that SB 1547 only solves part of the problem, that the point of collection must still be moved back to eliminate the bulk of the tax avoidance. </w:t>
      </w:r>
    </w:p>
    <w:p>
      <w:pPr>
        <w:pStyle w:val="Normal"/>
        <w:jc w:val="both"/>
        <w:rPr>
          <w:sz w:val="24"/>
        </w:rPr>
      </w:pPr>
      <w:r>
        <w:rPr>
          <w:sz w:val="24"/>
        </w:rPr>
      </w:r>
    </w:p>
    <w:p>
      <w:pPr>
        <w:pStyle w:val="Header"/>
        <w:tabs>
          <w:tab w:val="clear" w:pos="4320"/>
          <w:tab w:val="clear" w:pos="8640"/>
        </w:tabs>
        <w:jc w:val="both"/>
        <w:rPr>
          <w:sz w:val="24"/>
        </w:rPr>
      </w:pPr>
      <w:r>
        <w:rPr>
          <w:sz w:val="24"/>
        </w:rPr>
        <w:t xml:space="preserve">Design-Build is opposed by AGC on the premise that this particular product delivery method has the potential to bypass the Professional Services Procurement Act (PSPA) as established by the Texas Legislature.  The argument is that this method introduces more subjectivity into the contractor selection process, and places to much power in the hands of those selecting the contract, and does not ensure that the state receives the lowest possible construction cost.  </w:t>
      </w:r>
    </w:p>
    <w:p>
      <w:pPr>
        <w:pStyle w:val="Normal"/>
        <w:jc w:val="both"/>
        <w:rPr>
          <w:sz w:val="24"/>
        </w:rPr>
      </w:pPr>
      <w:r>
        <w:rPr>
          <w:sz w:val="24"/>
        </w:rPr>
      </w:r>
    </w:p>
    <w:p>
      <w:pPr>
        <w:pStyle w:val="Normal"/>
        <w:jc w:val="both"/>
        <w:rPr>
          <w:sz w:val="24"/>
        </w:rPr>
      </w:pPr>
      <w:r>
        <w:rPr>
          <w:sz w:val="24"/>
        </w:rPr>
        <w:t>Any proposal increasing fees, permits, or sanctions would receive obvious opposition.  The modification of the fee structure should be consistent with other states applications and equitable based upon the amount of damage to the state’s roadway system.</w:t>
      </w:r>
    </w:p>
    <w:p>
      <w:pPr>
        <w:pStyle w:val="Normal"/>
        <w:jc w:val="both"/>
        <w:rPr>
          <w:sz w:val="24"/>
        </w:rPr>
      </w:pPr>
      <w:r>
        <w:rPr>
          <w:sz w:val="24"/>
        </w:rPr>
      </w:r>
    </w:p>
    <w:p>
      <w:pPr>
        <w:pStyle w:val="Normal"/>
        <w:jc w:val="both"/>
        <w:rPr>
          <w:b/>
          <w:bCs/>
          <w:sz w:val="24"/>
        </w:rPr>
      </w:pPr>
      <w:r>
        <w:rPr>
          <w:b/>
          <w:bCs/>
          <w:sz w:val="24"/>
        </w:rPr>
      </w:r>
    </w:p>
    <w:p>
      <w:pPr>
        <w:pStyle w:val="Normal"/>
        <w:jc w:val="both"/>
        <w:rPr>
          <w:b/>
          <w:bCs/>
          <w:sz w:val="24"/>
        </w:rPr>
      </w:pPr>
      <w:r>
        <w:rPr>
          <w:b/>
          <w:bCs/>
          <w:sz w:val="24"/>
        </w:rPr>
        <w:t>RESOURCES REQUIRED</w:t>
      </w:r>
    </w:p>
    <w:p>
      <w:pPr>
        <w:pStyle w:val="Normal"/>
        <w:jc w:val="both"/>
        <w:rPr>
          <w:b/>
          <w:bCs/>
          <w:sz w:val="24"/>
        </w:rPr>
      </w:pPr>
      <w:r>
        <w:rPr>
          <w:b/>
          <w:bCs/>
          <w:sz w:val="24"/>
        </w:rPr>
      </w:r>
    </w:p>
    <w:p>
      <w:pPr>
        <w:pStyle w:val="Heading5"/>
        <w:ind w:hanging="0" w:start="0"/>
        <w:jc w:val="both"/>
        <w:rPr>
          <w:b w:val="false"/>
        </w:rPr>
      </w:pPr>
      <w:r>
        <w:rPr>
          <w:b w:val="false"/>
        </w:rPr>
        <w:t>This position can be implemented within current budgetary constraints.</w:t>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mond (W1)">
    <w:charset w:val="00" w:characterSet="windows-1252"/>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9.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1605"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15</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15</w:t>
                    </w:r>
                    <w:r>
                      <w:rPr>
                        <w:rStyle w:val="PageNumber"/>
                        <w:rFonts w:cs="Arial" w:ascii="Arial" w:hAnsi="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4">
    <w:lvl w:ilvl="0">
      <w:start w:val="3701"/>
      <w:numFmt w:val="bullet"/>
      <w:lvlText w:val="-"/>
      <w:lvlJc w:val="start"/>
      <w:pPr>
        <w:tabs>
          <w:tab w:val="num" w:pos="360"/>
        </w:tabs>
        <w:ind w:start="360" w:hanging="360"/>
      </w:pPr>
      <w:rPr>
        <w:rFonts w:ascii="OpenSymbol" w:hAnsi="OpenSymbol" w:cs="OpenSymbol" w:hint="default"/>
      </w:r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10">
    <w:lvl w:ilvl="0">
      <w:start w:val="1"/>
      <w:numFmt w:val="decimal"/>
      <w:lvlText w:val="%1."/>
      <w:lvlJc w:val="start"/>
      <w:pPr>
        <w:tabs>
          <w:tab w:val="num" w:pos="360"/>
        </w:tabs>
        <w:ind w:start="360" w:hanging="360"/>
      </w:pPr>
    </w:lvl>
  </w:abstractNum>
  <w:abstractNum w:abstractNumId="11">
    <w:lvl w:ilvl="0">
      <w:start w:val="4"/>
      <w:numFmt w:val="decimal"/>
      <w:lvlText w:val="%1."/>
      <w:lvlJc w:val="start"/>
      <w:pPr>
        <w:tabs>
          <w:tab w:val="num" w:pos="720"/>
        </w:tabs>
        <w:ind w:start="720" w:hanging="360"/>
      </w:pPr>
      <w:rPr>
        <w:b w:val="false"/>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1800"/>
        </w:tabs>
        <w:ind w:start="180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17">
    <w:lvl w:ilvl="0">
      <w:start w:val="1"/>
      <w:numFmt w:val="upperRoman"/>
      <w:lvlText w:val="%1."/>
      <w:lvlJc w:val="end"/>
      <w:pPr>
        <w:tabs>
          <w:tab w:val="num" w:pos="540"/>
        </w:tabs>
        <w:ind w:start="540" w:hanging="180"/>
      </w:pPr>
    </w:lvl>
  </w:abstractNum>
  <w:abstractNum w:abstractNumId="18">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upperRoman"/>
      <w:lvlText w:val="%1."/>
      <w:lvlJc w:val="end"/>
      <w:pPr>
        <w:tabs>
          <w:tab w:val="num" w:pos="540"/>
        </w:tabs>
        <w:ind w:start="540" w:hanging="180"/>
      </w:pPr>
    </w:lvl>
  </w:abstractNum>
  <w:abstractNum w:abstractNumId="21">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upperRoman"/>
      <w:lvlText w:val="%1."/>
      <w:lvlJc w:val="end"/>
      <w:pPr>
        <w:tabs>
          <w:tab w:val="num" w:pos="180"/>
        </w:tabs>
        <w:ind w:start="180" w:hanging="18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sz w:val="22"/>
        <w:i w:val="false"/>
        <w:b w:val="false"/>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numFmt w:val="bullet"/>
      <w:lvlText w:val=""/>
      <w:lvlJc w:val="start"/>
      <w:pPr>
        <w:tabs>
          <w:tab w:val="num" w:pos="360"/>
        </w:tabs>
        <w:ind w:start="360" w:hanging="360"/>
      </w:pPr>
      <w:rPr>
        <w:rFonts w:ascii="Symbol" w:hAnsi="Symbol" w:cs="Symbol" w:hint="default"/>
      </w:rPr>
    </w:lvl>
  </w:abstractNum>
  <w:abstractNum w:abstractNumId="2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4"/>
      <w:szCs w:val="24"/>
    </w:rPr>
  </w:style>
  <w:style w:type="paragraph" w:styleId="Heading2">
    <w:name w:val="heading 2"/>
    <w:basedOn w:val="Normal"/>
    <w:next w:val="Normal"/>
    <w:qFormat/>
    <w:pPr>
      <w:keepNext w:val="true"/>
      <w:numPr>
        <w:ilvl w:val="1"/>
        <w:numId w:val="1"/>
      </w:numPr>
      <w:ind w:hanging="0" w:start="1080" w:end="0"/>
      <w:outlineLvl w:val="1"/>
    </w:pPr>
    <w:rPr>
      <w:b/>
      <w:sz w:val="22"/>
    </w:rPr>
  </w:style>
  <w:style w:type="paragraph" w:styleId="Heading3">
    <w:name w:val="heading 3"/>
    <w:basedOn w:val="Normal"/>
    <w:next w:val="Normal"/>
    <w:qFormat/>
    <w:pPr>
      <w:keepNext w:val="true"/>
      <w:numPr>
        <w:ilvl w:val="2"/>
        <w:numId w:val="1"/>
      </w:numPr>
      <w:pBdr>
        <w:top w:val="single" w:sz="6" w:space="12" w:color="000000"/>
        <w:bottom w:val="single" w:sz="6" w:space="12" w:color="000000"/>
      </w:pBdr>
      <w:tabs>
        <w:tab w:val="clear" w:pos="720"/>
        <w:tab w:val="right" w:pos="8910" w:leader="none"/>
      </w:tabs>
      <w:outlineLvl w:val="2"/>
    </w:pPr>
    <w:rPr>
      <w:b/>
      <w:sz w:val="28"/>
    </w:rPr>
  </w:style>
  <w:style w:type="paragraph" w:styleId="Heading4">
    <w:name w:val="heading 4"/>
    <w:basedOn w:val="Normal"/>
    <w:next w:val="Normal"/>
    <w:qFormat/>
    <w:pPr>
      <w:keepNext w:val="true"/>
      <w:numPr>
        <w:ilvl w:val="3"/>
        <w:numId w:val="1"/>
      </w:numPr>
      <w:outlineLvl w:val="3"/>
    </w:pPr>
    <w:rPr>
      <w:b/>
      <w:bCs/>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0"/>
        <w:numId w:val="23"/>
      </w:numPr>
      <w:autoSpaceDE w:val="false"/>
      <w:spacing w:lineRule="auto" w:line="221"/>
      <w:jc w:val="both"/>
      <w:outlineLvl w:val="5"/>
    </w:pPr>
    <w:rPr>
      <w:b/>
      <w:bCs/>
      <w:sz w:val="24"/>
      <w:szCs w:val="18"/>
    </w:rPr>
  </w:style>
  <w:style w:type="paragraph" w:styleId="Heading7">
    <w:name w:val="heading 7"/>
    <w:basedOn w:val="Normal"/>
    <w:next w:val="Normal"/>
    <w:qFormat/>
    <w:pPr>
      <w:keepNext w:val="true"/>
      <w:numPr>
        <w:ilvl w:val="6"/>
        <w:numId w:val="1"/>
      </w:numPr>
      <w:spacing w:before="480" w:after="240"/>
      <w:outlineLvl w:val="6"/>
    </w:pPr>
    <w:rPr>
      <w:b/>
      <w:bCs/>
      <w:sz w:val="28"/>
    </w:rPr>
  </w:style>
  <w:style w:type="paragraph" w:styleId="Heading9">
    <w:name w:val="heading 9"/>
    <w:basedOn w:val="Normal"/>
    <w:next w:val="Normal"/>
    <w:qFormat/>
    <w:pPr>
      <w:keepNext w:val="true"/>
      <w:numPr>
        <w:ilvl w:val="8"/>
        <w:numId w:val="1"/>
      </w:numPr>
      <w:ind w:hanging="0" w:start="720" w:end="0"/>
      <w:outlineLvl w:val="8"/>
    </w:pPr>
    <w:rPr>
      <w:b/>
      <w:bCs/>
      <w:sz w:val="24"/>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b w:val="false"/>
      <w:i w:val="false"/>
      <w:sz w:val="22"/>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b w:val="false"/>
      <w:i w:val="false"/>
      <w:sz w:val="22"/>
    </w:rPr>
  </w:style>
  <w:style w:type="character" w:styleId="WW8Num13z0">
    <w:name w:val="WW8Num13z0"/>
    <w:qFormat/>
    <w:rPr>
      <w:rFonts w:ascii="Symbol" w:hAnsi="Symbol" w:cs="Symbol"/>
    </w:rPr>
  </w:style>
  <w:style w:type="character" w:styleId="WW8Num15z0">
    <w:name w:val="WW8Num15z0"/>
    <w:qFormat/>
    <w:rPr>
      <w:rFonts w:ascii="Symbol" w:hAnsi="Symbol" w:cs="Symbol"/>
      <w:b w:val="false"/>
      <w:i w:val="false"/>
      <w:sz w:val="22"/>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b w:val="false"/>
      <w:i w:val="false"/>
      <w:sz w:val="22"/>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val="fals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b w:val="false"/>
      <w:i w:val="false"/>
      <w:sz w:val="22"/>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b w:val="false"/>
      <w:i w:val="false"/>
      <w:sz w:val="22"/>
    </w:rPr>
  </w:style>
  <w:style w:type="character" w:styleId="WW8Num40z0">
    <w:name w:val="WW8Num40z0"/>
    <w:qFormat/>
    <w:rPr>
      <w:rFonts w:ascii="Symbol" w:hAnsi="Symbol" w:cs="Symbol"/>
    </w:rPr>
  </w:style>
  <w:style w:type="character" w:styleId="WW8Num43z0">
    <w:name w:val="WW8Num43z0"/>
    <w:qFormat/>
    <w:rPr>
      <w:rFonts w:ascii="Symbol" w:hAnsi="Symbol" w:cs="Symbol"/>
      <w:b w:val="false"/>
      <w:i w:val="false"/>
      <w:sz w:val="22"/>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b w:val="false"/>
      <w:i w:val="false"/>
      <w:sz w:val="22"/>
    </w:rPr>
  </w:style>
  <w:style w:type="character" w:styleId="WW8Num56z0">
    <w:name w:val="WW8Num56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2z1">
    <w:name w:val="WW8NumSt12z1"/>
    <w:qFormat/>
    <w:rPr>
      <w:rFonts w:ascii="Courier New" w:hAnsi="Courier New" w:cs="Courier New"/>
    </w:rPr>
  </w:style>
  <w:style w:type="character" w:styleId="WW8NumSt12z2">
    <w:name w:val="WW8NumSt12z2"/>
    <w:qFormat/>
    <w:rPr>
      <w:rFonts w:ascii="Wingdings" w:hAnsi="Wingdings" w:cs="Wingdings"/>
    </w:rPr>
  </w:style>
  <w:style w:type="character" w:styleId="WW8NumSt26z0">
    <w:name w:val="WW8NumSt2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Garmond (W1)" w:hAnsi="Garmond (W1)" w:cs="Garmond (W1)"/>
      <w:b/>
      <w:sz w:val="28"/>
    </w:rPr>
  </w:style>
  <w:style w:type="paragraph" w:styleId="BodyText">
    <w:name w:val="Body Text"/>
    <w:basedOn w:val="Normal"/>
    <w:pPr>
      <w:autoSpaceDE w:val="false"/>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sz w:val="24"/>
    </w:rPr>
  </w:style>
  <w:style w:type="paragraph" w:styleId="NormalWeb">
    <w:name w:val="Normal (Web)"/>
    <w:basedOn w:val="Normal"/>
    <w:qFormat/>
    <w:pPr>
      <w:spacing w:before="100" w:after="100"/>
    </w:pPr>
    <w:rPr>
      <w:sz w:val="24"/>
      <w:szCs w:val="24"/>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2000-11-02T19:39:00Z</dcterms:created>
  <dc:creator>Advocate for Houston Business</dc:creator>
  <dc:description/>
  <dc:language>en-CA</dc:language>
  <cp:lastModifiedBy>Arlene McCarty</cp:lastModifiedBy>
  <cp:lastPrinted>2000-10-12T11:47:00Z</cp:lastPrinted>
  <dcterms:modified xsi:type="dcterms:W3CDTF">2000-11-02T20:10:00Z</dcterms:modified>
  <cp:revision>6</cp:revision>
  <dc:subject/>
  <dc:title> </dc:title>
</cp:coreProperties>
</file>