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5.xml" ContentType="application/vnd.openxmlformats-officedocument.wordprocessingml.footer+xml"/>
  <Override PartName="/word/media/image1.wmf" ContentType="image/x-wmf"/>
  <Override PartName="/word/media/image2.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ParagraphFont1"/>
        <w:rPr>
          <w:rFonts w:ascii="Arial" w:hAnsi="Arial" w:cs="Arial"/>
          <w:strike/>
          <w:color w:val="FF0000"/>
          <w:sz w:val="24"/>
        </w:rPr>
      </w:pPr>
      <w:r>
        <w:rPr>
          <w:rFonts w:cs="Arial" w:ascii="Arial" w:hAnsi="Arial"/>
        </w:rPr>
        <w:drawing>
          <wp:inline distT="0" distB="0" distL="0" distR="0">
            <wp:extent cx="1082040" cy="4845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15" r="-7" b="-15"/>
                    <a:stretch>
                      <a:fillRect/>
                    </a:stretch>
                  </pic:blipFill>
                  <pic:spPr bwMode="auto">
                    <a:xfrm>
                      <a:off x="0" y="0"/>
                      <a:ext cx="1082040" cy="484505"/>
                    </a:xfrm>
                    <a:prstGeom prst="rect">
                      <a:avLst/>
                    </a:prstGeom>
                    <a:noFill/>
                  </pic:spPr>
                </pic:pic>
              </a:graphicData>
            </a:graphic>
          </wp:inline>
        </w:drawing>
      </w:r>
    </w:p>
    <w:p>
      <w:pPr>
        <w:pStyle w:val="Normal"/>
        <w:tabs>
          <w:tab w:val="clear" w:pos="360"/>
          <w:tab w:val="left" w:pos="4320" w:leader="none"/>
        </w:tabs>
        <w:rPr>
          <w:rFonts w:ascii="Arial" w:hAnsi="Arial" w:cs="Arial"/>
        </w:rPr>
      </w:pPr>
      <w:r>
        <w:rPr>
          <w:rFonts w:cs="Arial" w:ascii="Arial" w:hAnsi="Arial"/>
        </w:rPr>
        <w:tab/>
        <w:tab/>
      </w:r>
    </w:p>
    <w:p>
      <w:pPr>
        <w:pStyle w:val="Normal"/>
        <w:rPr>
          <w:rFonts w:ascii="Arial" w:hAnsi="Arial" w:cs="Arial"/>
        </w:rPr>
      </w:pPr>
      <w:r>
        <w:rPr>
          <w:rFonts w:cs="Arial" w:ascii="Arial" w:hAnsi="Arial"/>
        </w:rPr>
      </w:r>
    </w:p>
    <w:p>
      <w:pPr>
        <w:pStyle w:val="DefaultParagraphFont1"/>
        <w:rPr>
          <w:rFonts w:ascii="Arial" w:hAnsi="Arial" w:cs="Arial"/>
          <w:sz w:val="24"/>
        </w:rPr>
      </w:pPr>
      <w:r>
        <w:rPr>
          <w:rFonts w:cs="Arial" w:ascii="Arial" w:hAnsi="Arial"/>
          <w:sz w:val="24"/>
        </w:rPr>
      </w:r>
    </w:p>
    <w:p>
      <w:pPr>
        <w:pStyle w:val="DefaultParagraphFont1"/>
        <w:rPr>
          <w:rFonts w:ascii="Arial" w:hAnsi="Arial" w:cs="Arial"/>
          <w:sz w:val="24"/>
        </w:rPr>
      </w:pPr>
      <w:r>
        <w:rPr>
          <w:rFonts w:cs="Arial" w:ascii="Arial" w:hAnsi="Arial"/>
          <w:sz w:val="24"/>
        </w:rPr>
      </w:r>
    </w:p>
    <w:p>
      <w:pPr>
        <w:pStyle w:val="DefaultParagraphFont1"/>
        <w:rPr>
          <w:rFonts w:ascii="Arial" w:hAnsi="Arial" w:cs="Arial"/>
          <w:sz w:val="24"/>
        </w:rPr>
      </w:pPr>
      <w:r>
        <w:rPr>
          <w:rFonts w:cs="Arial" w:ascii="Arial" w:hAnsi="Arial"/>
          <w:sz w:val="24"/>
        </w:rPr>
      </w:r>
    </w:p>
    <w:p>
      <w:pPr>
        <w:pStyle w:val="DefaultParagraphFont1"/>
        <w:rPr>
          <w:rFonts w:ascii="Arial" w:hAnsi="Arial" w:cs="Arial"/>
          <w:b/>
          <w:sz w:val="56"/>
        </w:rPr>
      </w:pPr>
      <w:r>
        <w:rPr>
          <w:rFonts w:cs="Arial" w:ascii="Arial" w:hAnsi="Arial"/>
          <w:b/>
          <w:sz w:val="56"/>
        </w:rPr>
      </w:r>
    </w:p>
    <w:p>
      <w:pPr>
        <w:pStyle w:val="DefaultParagraphFont1"/>
        <w:rPr>
          <w:rFonts w:ascii="Arial" w:hAnsi="Arial" w:cs="Arial"/>
          <w:b/>
          <w:sz w:val="56"/>
        </w:rPr>
      </w:pPr>
      <w:r>
        <w:rPr>
          <w:rFonts w:cs="Arial" w:ascii="Arial" w:hAnsi="Arial"/>
          <w:b/>
          <w:sz w:val="56"/>
        </w:rPr>
        <w:t xml:space="preserve">Urgent </w:t>
      </w:r>
    </w:p>
    <w:p>
      <w:pPr>
        <w:pStyle w:val="DefaultParagraphFont1"/>
        <w:rPr>
          <w:rFonts w:ascii="Arial" w:hAnsi="Arial" w:cs="Arial"/>
          <w:b/>
          <w:sz w:val="56"/>
        </w:rPr>
      </w:pPr>
      <w:r>
        <w:rPr>
          <w:rFonts w:cs="Arial" w:ascii="Arial" w:hAnsi="Arial"/>
          <w:b/>
          <w:sz w:val="56"/>
        </w:rPr>
        <w:t>Technical Advisory</w:t>
      </w:r>
    </w:p>
    <w:p>
      <w:pPr>
        <w:pStyle w:val="DefaultParagraphFont1"/>
        <w:rPr>
          <w:rFonts w:ascii="Arial" w:hAnsi="Arial" w:cs="Arial"/>
          <w:sz w:val="56"/>
        </w:rPr>
      </w:pPr>
      <w:r>
        <w:rPr>
          <w:rFonts w:cs="Arial" w:ascii="Arial" w:hAnsi="Arial"/>
          <w:b/>
          <w:sz w:val="56"/>
        </w:rPr>
        <w:t>2000-007</w:t>
      </w:r>
    </w:p>
    <w:p>
      <w:pPr>
        <w:pStyle w:val="Style11"/>
        <w:rPr>
          <w:rFonts w:ascii="Arial" w:hAnsi="Arial" w:cs="Arial"/>
          <w:sz w:val="56"/>
          <w:lang w:val="en-US"/>
        </w:rPr>
      </w:pPr>
      <w:r>
        <w:rPr>
          <w:rFonts w:cs="Arial" w:ascii="Arial" w:hAnsi="Arial"/>
          <w:sz w:val="56"/>
          <w:lang w:val="en-US"/>
        </w:rPr>
      </w:r>
    </w:p>
    <w:p>
      <w:pPr>
        <w:pStyle w:val="DefaultParagraphFont1"/>
        <w:jc w:val="center"/>
        <w:rPr>
          <w:rFonts w:ascii="Arial" w:hAnsi="Arial" w:cs="Arial"/>
          <w:b/>
          <w:sz w:val="24"/>
          <w:lang w:val="en-US"/>
        </w:rPr>
      </w:pPr>
      <w:r>
        <w:rPr>
          <w:rFonts w:cs="Arial" w:ascii="Arial" w:hAnsi="Arial"/>
          <w:b/>
          <w:sz w:val="24"/>
          <w:lang w:val="en-US"/>
        </w:rPr>
      </w:r>
    </w:p>
    <w:p>
      <w:pPr>
        <w:pStyle w:val="Normal"/>
        <w:rPr>
          <w:rFonts w:ascii="Arial" w:hAnsi="Arial" w:cs="Arial"/>
          <w:b w:val="false"/>
          <w:sz w:val="24"/>
        </w:rPr>
      </w:pPr>
      <w:r>
        <w:rPr>
          <w:rFonts w:cs="Arial" w:ascii="Arial" w:hAnsi="Arial"/>
          <w:b w:val="false"/>
          <w:sz w:val="24"/>
        </w:rPr>
      </w:r>
    </w:p>
    <w:p>
      <w:pPr>
        <w:pStyle w:val="Normal"/>
        <w:rPr>
          <w:rFonts w:ascii="Arial" w:hAnsi="Arial" w:cs="Arial"/>
        </w:rPr>
      </w:pPr>
      <w:r>
        <w:rPr>
          <w:rFonts w:cs="Arial" w:ascii="Arial" w:hAnsi="Arial"/>
        </w:rPr>
      </w:r>
    </w:p>
    <w:p>
      <w:pPr>
        <w:pStyle w:val="DefaultParagraphFont1"/>
        <w:ind w:hanging="1530" w:start="1620" w:end="0"/>
        <w:rPr>
          <w:rFonts w:ascii="Arial" w:hAnsi="Arial" w:cs="Arial"/>
          <w:sz w:val="36"/>
        </w:rPr>
      </w:pPr>
      <w:r>
        <w:rPr>
          <w:rFonts w:cs="Arial" w:ascii="Arial" w:hAnsi="Arial"/>
          <w:b/>
          <w:sz w:val="36"/>
        </w:rPr>
        <w:t>Subject: Increased Inspection of W501F Row 2 Turbine Blades</w:t>
      </w:r>
    </w:p>
    <w:p>
      <w:pPr>
        <w:pStyle w:val="DefaultParagraphFont1"/>
        <w:jc w:val="center"/>
        <w:rPr>
          <w:rFonts w:ascii="Arial" w:hAnsi="Arial" w:cs="Arial"/>
          <w:sz w:val="24"/>
        </w:rPr>
      </w:pPr>
      <w:r>
        <w:rPr>
          <w:rFonts w:cs="Arial" w:ascii="Arial" w:hAnsi="Arial"/>
          <w:sz w:val="24"/>
        </w:rPr>
      </w:r>
    </w:p>
    <w:p>
      <w:pPr>
        <w:pStyle w:val="DefaultParagraphFont1"/>
        <w:jc w:val="center"/>
        <w:rPr>
          <w:rFonts w:ascii="Arial" w:hAnsi="Arial" w:cs="Arial"/>
          <w:sz w:val="24"/>
        </w:rPr>
      </w:pPr>
      <w:r>
        <w:rPr>
          <w:rFonts w:cs="Arial" w:ascii="Arial" w:hAnsi="Arial"/>
          <w:sz w:val="24"/>
        </w:rPr>
      </w:r>
    </w:p>
    <w:p>
      <w:pPr>
        <w:pStyle w:val="DefaultParagraphFont1"/>
        <w:jc w:val="both"/>
        <w:rPr>
          <w:rFonts w:ascii="Arial" w:hAnsi="Arial" w:cs="Arial"/>
          <w:sz w:val="24"/>
        </w:rPr>
      </w:pPr>
      <w:r>
        <w:rPr>
          <w:rFonts w:cs="Arial" w:ascii="Arial" w:hAnsi="Arial"/>
          <w:sz w:val="24"/>
        </w:rPr>
      </w:r>
    </w:p>
    <w:p>
      <w:pPr>
        <w:pStyle w:val="DefaultParagraphFont1"/>
        <w:rPr>
          <w:rFonts w:ascii="Arial" w:hAnsi="Arial" w:cs="Arial"/>
          <w:b/>
          <w:sz w:val="24"/>
        </w:rPr>
      </w:pPr>
      <w:r>
        <w:rPr>
          <w:rFonts w:eastAsia="Arial" w:cs="Arial" w:ascii="Arial" w:hAnsi="Arial"/>
          <w:b/>
          <w:sz w:val="24"/>
        </w:rPr>
        <w:t xml:space="preserve"> </w:t>
      </w:r>
      <w:r>
        <w:rPr>
          <w:rFonts w:cs="Arial" w:ascii="Arial" w:hAnsi="Arial"/>
          <w:b/>
          <w:sz w:val="24"/>
        </w:rPr>
        <w:t>Date: August 2, 2000</w:t>
      </w:r>
    </w:p>
    <w:p>
      <w:pPr>
        <w:pStyle w:val="DefaultParagraphFont1"/>
        <w:jc w:val="both"/>
        <w:rPr>
          <w:rFonts w:ascii="Arial" w:hAnsi="Arial" w:cs="Arial"/>
          <w:b/>
          <w:sz w:val="24"/>
        </w:rPr>
      </w:pPr>
      <w:r>
        <w:rPr>
          <w:rFonts w:cs="Arial" w:ascii="Arial" w:hAnsi="Arial"/>
          <w:b/>
          <w:sz w:val="24"/>
        </w:rPr>
      </w:r>
    </w:p>
    <w:p>
      <w:pPr>
        <w:pStyle w:val="DefaultParagraphFont1"/>
        <w:jc w:val="both"/>
        <w:rPr>
          <w:rFonts w:ascii="Arial" w:hAnsi="Arial" w:cs="Arial"/>
          <w:sz w:val="24"/>
        </w:rPr>
      </w:pPr>
      <w:r>
        <w:rPr>
          <w:rFonts w:cs="Arial" w:ascii="Arial" w:hAnsi="Arial"/>
          <w:sz w:val="24"/>
        </w:rPr>
      </w:r>
    </w:p>
    <w:p>
      <w:pPr>
        <w:pStyle w:val="DefaultParagraphFont1"/>
        <w:jc w:val="both"/>
        <w:rPr>
          <w:rFonts w:ascii="Arial" w:hAnsi="Arial" w:cs="Arial"/>
          <w:sz w:val="24"/>
        </w:rPr>
      </w:pPr>
      <w:r>
        <w:rPr>
          <w:rFonts w:cs="Arial" w:ascii="Arial" w:hAnsi="Arial"/>
          <w:sz w:val="24"/>
        </w:rPr>
      </w:r>
    </w:p>
    <w:p>
      <w:pPr>
        <w:pStyle w:val="DefaultParagraphFont1"/>
        <w:rPr>
          <w:rFonts w:ascii="Arial" w:hAnsi="Arial" w:cs="Arial"/>
          <w:b/>
          <w:sz w:val="24"/>
        </w:rPr>
      </w:pPr>
      <w:r>
        <w:rPr>
          <w:rFonts w:cs="Arial" w:ascii="Arial" w:hAnsi="Arial"/>
          <w:b/>
          <w:sz w:val="24"/>
        </w:rPr>
        <w:t>PROPRIETARY INFORMATION</w:t>
      </w:r>
    </w:p>
    <w:p>
      <w:pPr>
        <w:pStyle w:val="DefaultParagraphFont1"/>
        <w:ind w:end="1780"/>
        <w:rPr>
          <w:rFonts w:ascii="Arial" w:hAnsi="Arial" w:cs="Arial"/>
          <w:b/>
          <w:sz w:val="24"/>
        </w:rPr>
      </w:pPr>
      <w:r>
        <w:rPr>
          <w:rFonts w:cs="Arial" w:ascii="Arial" w:hAnsi="Arial"/>
          <w:b/>
          <w:sz w:val="24"/>
        </w:rPr>
      </w:r>
    </w:p>
    <w:p>
      <w:pPr>
        <w:pStyle w:val="DefaultParagraphFont1"/>
        <w:spacing w:lineRule="exact" w:line="240"/>
        <w:ind w:start="20" w:end="1440"/>
        <w:rPr/>
      </w:pPr>
      <w:r>
        <w:rPr>
          <w:rFonts w:cs="Arial" w:ascii="Arial" w:hAnsi="Arial"/>
          <w:sz w:val="24"/>
        </w:rPr>
        <w:t xml:space="preserve">This document contains information proprietary to Siemens Westinghouse Power Corporation, </w:t>
      </w:r>
      <w:r>
        <w:rPr>
          <w:rFonts w:cs="Arial" w:ascii="Arial" w:hAnsi="Arial"/>
          <w:i/>
          <w:sz w:val="24"/>
        </w:rPr>
        <w:t>A Siemens Company</w:t>
      </w:r>
      <w:r>
        <w:rPr>
          <w:rFonts w:cs="Arial" w:ascii="Arial" w:hAnsi="Arial"/>
          <w:sz w:val="24"/>
        </w:rPr>
        <w:t>.  Your acceptance of it is an acknowledgment of a confidential relationship between you and Siemens Westinghouse Power Corporation.  It is to be used solely by you for the purpose for which it is furnished and is to be returned or destroyed when no longer required for that purpose.  Neither this document nor any information obtained therefrom is to be reproduced, transmitted, disclosed, or used otherwise in whole or in part without the written authorization of Siemens Westinghouse Power Corporation.</w:t>
      </w:r>
    </w:p>
    <w:p>
      <w:pPr>
        <w:pStyle w:val="DefaultParagraphFont1"/>
        <w:spacing w:lineRule="exact" w:line="240"/>
        <w:ind w:end="144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DefaultParagraphFont1"/>
        <w:ind w:start="20" w:end="1780"/>
        <w:jc w:val="both"/>
        <w:rPr/>
      </w:pPr>
      <w:r>
        <w:rPr>
          <w:rFonts w:eastAsia="Arial" w:cs="Arial" w:ascii="Arial" w:hAnsi="Arial"/>
          <w:sz w:val="24"/>
        </w:rPr>
        <w:t xml:space="preserve">  </w:t>
      </w:r>
      <w:r>
        <w:rPr>
          <w:rFonts w:cs="Arial" w:ascii="Arial" w:hAnsi="Arial"/>
          <w:sz w:val="24"/>
        </w:rPr>
        <w:t xml:space="preserve">Approved: </w:t>
      </w:r>
      <w:r>
        <w:rPr>
          <w:rFonts w:cs="Arial" w:ascii="Arial" w:hAnsi="Arial"/>
          <w:sz w:val="24"/>
          <w:u w:val="single"/>
        </w:rPr>
        <w:drawing>
          <wp:inline distT="0" distB="0" distL="0" distR="0">
            <wp:extent cx="2002790" cy="387350"/>
            <wp:effectExtent l="0" t="0" r="0" b="0"/>
            <wp:docPr id="2" name="RT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TW" descr="" title=""/>
                    <pic:cNvPicPr>
                      <a:picLocks noChangeAspect="1" noChangeArrowheads="1"/>
                    </pic:cNvPicPr>
                  </pic:nvPicPr>
                  <pic:blipFill>
                    <a:blip r:embed="rId3"/>
                    <a:srcRect l="-18" t="-93" r="-18" b="-93"/>
                    <a:stretch>
                      <a:fillRect/>
                    </a:stretch>
                  </pic:blipFill>
                  <pic:spPr bwMode="auto">
                    <a:xfrm>
                      <a:off x="0" y="0"/>
                      <a:ext cx="2002790" cy="387350"/>
                    </a:xfrm>
                    <a:prstGeom prst="rect">
                      <a:avLst/>
                    </a:prstGeom>
                    <a:noFill/>
                  </pic:spPr>
                </pic:pic>
              </a:graphicData>
            </a:graphic>
          </wp:inline>
        </w:drawing>
      </w:r>
      <w:r>
        <w:rPr>
          <w:rFonts w:cs="Arial" w:ascii="Arial" w:hAnsi="Arial"/>
          <w:sz w:val="24"/>
        </w:rPr>
        <w:t xml:space="preserve"> </w:t>
      </w:r>
    </w:p>
    <w:p>
      <w:pPr>
        <w:pStyle w:val="DefaultParagraphFont1"/>
        <w:spacing w:lineRule="exact" w:line="220"/>
        <w:ind w:hanging="60" w:start="1360" w:end="1780"/>
        <w:jc w:val="both"/>
        <w:rPr>
          <w:rFonts w:ascii="Arial" w:hAnsi="Arial" w:cs="Arial"/>
          <w:sz w:val="24"/>
        </w:rPr>
      </w:pPr>
      <w:r>
        <w:rPr>
          <w:rFonts w:cs="Arial" w:ascii="Arial" w:hAnsi="Arial"/>
          <w:sz w:val="24"/>
        </w:rPr>
        <w:t>R.T. Werner</w:t>
      </w:r>
    </w:p>
    <w:p>
      <w:pPr>
        <w:sectPr>
          <w:footerReference w:type="default" r:id="rId4"/>
          <w:type w:val="nextPage"/>
          <w:pgSz w:w="12240" w:h="15840"/>
          <w:pgMar w:left="1440" w:right="1440" w:gutter="0" w:header="0" w:top="1008" w:footer="720" w:bottom="1008"/>
          <w:pgNumType w:start="1" w:fmt="decimal"/>
          <w:formProt w:val="false"/>
          <w:textDirection w:val="lrTb"/>
          <w:docGrid w:type="default" w:linePitch="360" w:charSpace="0"/>
        </w:sectPr>
        <w:pStyle w:val="DefaultParagraphFont1"/>
        <w:spacing w:lineRule="exact" w:line="220"/>
        <w:ind w:hanging="60" w:start="1360" w:end="1780"/>
        <w:rPr>
          <w:rFonts w:ascii="Arial" w:hAnsi="Arial" w:cs="Arial"/>
          <w:sz w:val="24"/>
        </w:rPr>
      </w:pPr>
      <w:r>
        <w:rPr>
          <w:rFonts w:cs="Arial" w:ascii="Arial" w:hAnsi="Arial"/>
          <w:sz w:val="24"/>
        </w:rPr>
        <w:t>Siemens Westinghouse Power Corporation</w:t>
      </w:r>
    </w:p>
    <w:p>
      <w:pPr>
        <w:pStyle w:val="Normal"/>
        <w:rPr>
          <w:rFonts w:ascii="Arial" w:hAnsi="Arial" w:cs="Arial"/>
          <w:sz w:val="24"/>
          <w:lang w:val="en-CA"/>
        </w:rPr>
      </w:pPr>
      <w:r>
        <w:rPr>
          <w:rFonts w:cs="Arial" w:ascii="Arial" w:hAnsi="Arial"/>
          <w:sz w:val="24"/>
          <w:lang w:val="en-CA"/>
        </w:rPr>
      </w:r>
      <w:r>
        <mc:AlternateContent>
          <mc:Choice Requires="wps">
            <w:drawing>
              <wp:anchor behindDoc="0" distT="0" distB="0" distL="114935" distR="114935" simplePos="0" locked="0" layoutInCell="1" allowOverlap="1" relativeHeight="4">
                <wp:simplePos x="0" y="0"/>
                <wp:positionH relativeFrom="column">
                  <wp:posOffset>1362075</wp:posOffset>
                </wp:positionH>
                <wp:positionV relativeFrom="paragraph">
                  <wp:posOffset>93980</wp:posOffset>
                </wp:positionV>
                <wp:extent cx="3162935" cy="181610"/>
                <wp:effectExtent l="0" t="0" r="0" b="0"/>
                <wp:wrapNone/>
                <wp:docPr id="3" name="Frame1"/>
                <a:graphic xmlns:a="http://schemas.openxmlformats.org/drawingml/2006/main">
                  <a:graphicData uri="http://schemas.microsoft.com/office/word/2010/wordprocessingShape">
                    <wps:wsp>
                      <wps:cNvSpPr txBox="1"/>
                      <wps:spPr>
                        <a:xfrm>
                          <a:off x="0" y="0"/>
                          <a:ext cx="3162935" cy="181610"/>
                        </a:xfrm>
                        <a:prstGeom prst="rect"/>
                        <a:solidFill>
                          <a:srgbClr val="FFFFFF">
                            <a:alpha val="0"/>
                          </a:srgbClr>
                        </a:solidFill>
                      </wps:spPr>
                      <wps:txbx>
                        <w:txbxContent>
                          <w:p>
                            <w:pPr>
                              <w:pStyle w:val="Normal"/>
                              <w:rPr/>
                            </w:pPr>
                            <w:r>
                              <w:rPr/>
                            </w:r>
                          </w:p>
                        </w:txbxContent>
                      </wps:txbx>
                      <wps:bodyPr anchor="t" lIns="13335" tIns="13335" rIns="13335" bIns="13335">
                        <a:noAutofit/>
                      </wps:bodyPr>
                    </wps:wsp>
                  </a:graphicData>
                </a:graphic>
              </wp:anchor>
            </w:drawing>
          </mc:Choice>
          <mc:Fallback>
            <w:pict>
              <v:rect fillcolor="#FFFFFF" style="position:absolute;rotation:-0;width:249.05pt;height:14.3pt;mso-wrap-distance-left:9.05pt;mso-wrap-distance-right:9.05pt;mso-wrap-distance-top:0pt;mso-wrap-distance-bottom:0pt;margin-top:7.4pt;mso-position-vertical-relative:text;margin-left:107.25pt;mso-position-horizontal-relative:text">
                <v:fill opacity="0f"/>
                <v:textbox inset="0.0145833333333333in,0.0145833333333333in,0.0145833333333333in,0.0145833333333333in">
                  <w:txbxContent>
                    <w:p>
                      <w:pPr>
                        <w:pStyle w:val="Normal"/>
                        <w:rPr/>
                      </w:pPr>
                      <w:r>
                        <w:rPr/>
                      </w:r>
                    </w:p>
                  </w:txbxContent>
                </v:textbox>
                <w10:wrap type="none"/>
              </v:rect>
            </w:pict>
          </mc:Fallback>
        </mc:AlternateContent>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r>
    </w:p>
    <w:p>
      <w:pPr>
        <w:pStyle w:val="CENTER1"/>
        <w:rPr>
          <w:rFonts w:ascii="Arial" w:hAnsi="Arial" w:cs="Arial"/>
        </w:rPr>
      </w:pPr>
      <w:r>
        <w:rPr>
          <w:rFonts w:cs="Arial" w:ascii="Arial" w:hAnsi="Arial"/>
        </w:rPr>
        <w:t>DISCLAIMER OF WARRANTIES</w:t>
        <w:br/>
        <w:t>AND LIMITATION OF LIABILITY</w:t>
      </w:r>
    </w:p>
    <w:p>
      <w:pPr>
        <w:pStyle w:val="DefaultParagraphFont1"/>
        <w:spacing w:lineRule="exact" w:line="240"/>
        <w:jc w:val="both"/>
        <w:rPr>
          <w:rFonts w:ascii="Arial" w:hAnsi="Arial" w:cs="Arial"/>
          <w:sz w:val="24"/>
        </w:rPr>
      </w:pPr>
      <w:r>
        <w:rPr>
          <w:rFonts w:cs="Arial" w:ascii="Arial" w:hAnsi="Arial"/>
          <w:sz w:val="24"/>
        </w:rPr>
      </w:r>
    </w:p>
    <w:p>
      <w:pPr>
        <w:pStyle w:val="0"/>
        <w:jc w:val="both"/>
        <w:rPr>
          <w:rFonts w:ascii="Arial" w:hAnsi="Arial" w:cs="Arial"/>
        </w:rPr>
      </w:pPr>
      <w:r>
        <w:rPr>
          <w:rFonts w:cs="Arial" w:ascii="Arial" w:hAnsi="Arial"/>
        </w:rPr>
        <w:t>THERE ARE NO UNDERSTANDINGS, AGREEMENTS, REPRESENTATIONS, OR WARRANTIES, EXPRESSED OR IMPLIED, INCLUDING WARRANTIES OF MERCHANTABILITY OR FITNESS FOR A PARTICULAR PURPOSE, OTHER THAN THOSE SPECIFICALLY SET OUT IN ANY EXISTING CONTRACT BETWEEN THE PARTIES REGARDING THIS EQUIPMENT. ANY SUCH CONTRACT STATES THE ENTIRE OBLIGATION OF SELLER. THE CONTENTS OF THIS DOCUMENT SHALL NOT BECOME PART OF OR MODIFY ANY PRIOR OR EXISTING AGREEMENT, COMMITMENT, OR RELATIONSHIP.</w:t>
      </w:r>
    </w:p>
    <w:p>
      <w:pPr>
        <w:pStyle w:val="0"/>
        <w:jc w:val="both"/>
        <w:rPr>
          <w:rFonts w:ascii="Arial" w:hAnsi="Arial" w:cs="Arial"/>
        </w:rPr>
      </w:pPr>
      <w:r>
        <w:rPr>
          <w:rFonts w:cs="Arial" w:ascii="Arial" w:hAnsi="Arial"/>
        </w:rPr>
        <w:t>The information, recommendations and descriptions in this document are based on Siemens Westinghouse's experience and judgment with respect to this equipment's operation and maintenance. THIS INFORMATION SHOULD NOT BE CONSIDERED AS ALL INCLUSIVE OR COVERING ALL CONTINGENCIES. If further information is required, Siemens Westinghouse Power Corporation should be consulted.</w:t>
      </w:r>
    </w:p>
    <w:p>
      <w:pPr>
        <w:pStyle w:val="0"/>
        <w:jc w:val="both"/>
        <w:rPr>
          <w:rFonts w:ascii="Arial" w:hAnsi="Arial" w:cs="Arial"/>
        </w:rPr>
      </w:pPr>
      <w:r>
        <w:rPr>
          <w:rFonts w:cs="Arial" w:ascii="Arial" w:hAnsi="Arial"/>
        </w:rPr>
        <w:t>NO WARRANTIES, EXPRESS OR IMPLIED, INCLUDING WARRANTIES OF FITNESS FOR A PARTICULAR PURPOSE OR MERCHANTABILITY, OR WARRANTIES ARISING FROM THE COURSE OF DEALING OR USAGE OF TRADE, ARE MADE REGARDING THE INFORMATION, RECOMMENDATIONS, OR DESCRIPTIONS CONTAINED HEREIN.  In no event will Siemens Westinghouse be responsible to the user in contract, in tort (including negligence), strict liability or otherwise for any special, indirect, incidental, or consequential damage or loss whatsoever, including but not limited to damage to or loss of use of equipment, plant, or power system; cost or capital; loss of profits or revenues; cost of replacement power; additional expenses in the use of existing power facilities; or claims against the user by its customers, resulting from use of the information, recommendations, or descriptions contained herein.</w:t>
      </w:r>
    </w:p>
    <w:p>
      <w:pPr>
        <w:sectPr>
          <w:footerReference w:type="default" r:id="rId5"/>
          <w:footerReference w:type="first" r:id="rId6"/>
          <w:type w:val="nextPage"/>
          <w:pgSz w:w="12240" w:h="15840"/>
          <w:pgMar w:left="1440" w:right="1440" w:gutter="0" w:header="0" w:top="1008" w:footer="720" w:bottom="1008"/>
          <w:pgNumType w:start="1" w:fmt="decimal"/>
          <w:formProt w:val="false"/>
          <w:textDirection w:val="lrTb"/>
          <w:docGrid w:type="default" w:linePitch="360" w:charSpace="0"/>
        </w:sectPr>
        <w:pStyle w:val="0"/>
        <w:rPr>
          <w:rFonts w:ascii="Arial" w:hAnsi="Arial" w:cs="Arial"/>
        </w:rPr>
      </w:pPr>
      <w:r>
        <w:rPr>
          <w:rFonts w:cs="Arial" w:ascii="Arial" w:hAnsi="Arial"/>
        </w:rPr>
      </w:r>
    </w:p>
    <w:p>
      <w:pPr>
        <w:pStyle w:val="Heading1"/>
        <w:ind w:hanging="0" w:start="0"/>
        <w:rPr>
          <w:rFonts w:ascii="Arial" w:hAnsi="Arial" w:cs="Arial"/>
          <w:b/>
          <w:lang w:val="en-US"/>
        </w:rPr>
      </w:pPr>
      <w:r>
        <w:rPr>
          <w:rFonts w:cs="Arial" w:ascii="Arial" w:hAnsi="Arial"/>
          <w:b/>
          <w:lang w:val="en-US"/>
        </w:rPr>
      </w:r>
    </w:p>
    <w:p>
      <w:pPr>
        <w:pStyle w:val="Heading1"/>
        <w:ind w:hanging="0" w:start="0"/>
        <w:rPr>
          <w:rFonts w:ascii="Arial" w:hAnsi="Arial" w:cs="Arial"/>
          <w:b/>
          <w:lang w:val="en-US"/>
        </w:rPr>
      </w:pPr>
      <w:r>
        <w:rPr>
          <w:rFonts w:cs="Arial" w:ascii="Arial" w:hAnsi="Arial"/>
          <w:b/>
          <w:lang w:val="en-US"/>
        </w:rPr>
        <w:t>1.</w:t>
        <w:tab/>
        <w:t>REASON FOR advisory</w:t>
      </w:r>
    </w:p>
    <w:p>
      <w:pPr>
        <w:pStyle w:val="Normal"/>
        <w:ind w:start="360" w:end="0"/>
        <w:rPr>
          <w:rFonts w:ascii="Arial" w:hAnsi="Arial" w:cs="Arial"/>
        </w:rPr>
      </w:pPr>
      <w:r>
        <w:rPr>
          <w:rFonts w:cs="Arial" w:ascii="Arial" w:hAnsi="Arial"/>
          <w:b w:val="false"/>
        </w:rPr>
        <w:t>The purpose of this Urgent Technical Advisory</w:t>
      </w:r>
      <w:r>
        <w:rPr>
          <w:rFonts w:cs="Arial" w:ascii="Arial" w:hAnsi="Arial"/>
        </w:rPr>
        <w:t xml:space="preserve"> </w:t>
      </w:r>
      <w:r>
        <w:rPr>
          <w:rFonts w:cs="Arial" w:ascii="Arial" w:hAnsi="Arial"/>
          <w:b w:val="false"/>
        </w:rPr>
        <w:t xml:space="preserve">is to advise of the need for more frequent inspections of W501F Row 2 Turbine Blades. These recommendations </w:t>
      </w:r>
      <w:r>
        <w:rPr>
          <w:rFonts w:cs="Arial" w:ascii="Arial" w:hAnsi="Arial"/>
          <w:b w:val="false"/>
          <w:color w:val="000000"/>
        </w:rPr>
        <w:t>are in addition to</w:t>
      </w:r>
      <w:r>
        <w:rPr>
          <w:rFonts w:cs="Arial" w:ascii="Arial" w:hAnsi="Arial"/>
          <w:b w:val="false"/>
          <w:color w:val="FF0000"/>
        </w:rPr>
        <w:t xml:space="preserve"> </w:t>
      </w:r>
      <w:r>
        <w:rPr>
          <w:rFonts w:cs="Arial" w:ascii="Arial" w:hAnsi="Arial"/>
          <w:b w:val="false"/>
        </w:rPr>
        <w:t>those inspection intervals specified in Service Bulletin 36803 “Combustor Turbine Maintenance and Inspection Intervals.”</w:t>
      </w:r>
    </w:p>
    <w:p>
      <w:pPr>
        <w:pStyle w:val="Style11"/>
        <w:rPr>
          <w:rFonts w:ascii="Arial" w:hAnsi="Arial" w:cs="Arial"/>
          <w:lang w:val="en-US"/>
        </w:rPr>
      </w:pPr>
      <w:r>
        <w:rPr>
          <w:rFonts w:cs="Arial" w:ascii="Arial" w:hAnsi="Arial"/>
          <w:lang w:val="en-US"/>
        </w:rPr>
      </w:r>
    </w:p>
    <w:p>
      <w:pPr>
        <w:pStyle w:val="Style11"/>
        <w:rPr>
          <w:rFonts w:ascii="Arial" w:hAnsi="Arial" w:cs="Arial"/>
          <w:lang w:val="en-US"/>
        </w:rPr>
      </w:pPr>
      <w:r>
        <w:rPr>
          <w:rFonts w:cs="Arial" w:ascii="Arial" w:hAnsi="Arial"/>
          <w:lang w:val="en-US"/>
        </w:rPr>
      </w:r>
    </w:p>
    <w:p>
      <w:pPr>
        <w:pStyle w:val="CENTER3"/>
        <w:keepNext w:val="false"/>
        <w:spacing w:before="0" w:after="0"/>
        <w:rPr>
          <w:rFonts w:ascii="Arial" w:hAnsi="Arial" w:cs="Arial"/>
          <w:caps w:val="false"/>
          <w:smallCaps w:val="false"/>
          <w:sz w:val="28"/>
          <w:lang w:val="en-US"/>
        </w:rPr>
      </w:pPr>
      <w:r>
        <w:rPr>
          <w:rFonts w:cs="Arial" w:ascii="Arial" w:hAnsi="Arial"/>
          <w:caps w:val="false"/>
          <w:smallCaps w:val="false"/>
          <w:sz w:val="28"/>
          <w:lang w:val="en-US"/>
        </w:rPr>
        <w:t>NOTICE AND WARNING:</w:t>
      </w:r>
    </w:p>
    <w:p>
      <w:pPr>
        <w:pStyle w:val="Normal"/>
        <w:jc w:val="center"/>
        <w:rPr>
          <w:rFonts w:ascii="Arial" w:hAnsi="Arial" w:cs="Arial"/>
          <w:caps/>
          <w:sz w:val="28"/>
          <w:lang w:val="en-US"/>
        </w:rPr>
      </w:pPr>
      <w:r>
        <w:rPr>
          <w:rFonts w:cs="Arial" w:ascii="Arial" w:hAnsi="Arial"/>
          <w:caps/>
          <w:sz w:val="28"/>
          <w:lang w:val="en-US"/>
        </w:rPr>
      </w:r>
    </w:p>
    <w:p>
      <w:pPr>
        <w:pStyle w:val="BlockText"/>
        <w:rPr>
          <w:rFonts w:ascii="Arial" w:hAnsi="Arial" w:cs="Arial"/>
        </w:rPr>
      </w:pPr>
      <w:r>
        <w:rPr>
          <w:rFonts w:cs="Arial" w:ascii="Arial" w:hAnsi="Arial"/>
        </w:rPr>
        <w:t xml:space="preserve">FAILURE TO FOLLOW THESE RECOMMENDATIONS AND ADVICE MAY RESULT IN SERIOUS LOSS OR DAMAGE TO THESE PRODUCTS AND OTHER EQUIPMENT.  THE RECOMMENDATIONS AND ADVICE GIVEN IN THIS ADVISORY ARE INTENDED TO ENHANCE THE AVAILABILITY, OPERABILITY, AND USEFUL LIFE OF THE SIEMENS WESTINGHOUSE PRODUCTS REFERENCED.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start="360" w:end="0"/>
        <w:jc w:val="both"/>
        <w:rPr>
          <w:rFonts w:ascii="Arial" w:hAnsi="Arial" w:cs="Arial"/>
          <w:b w:val="false"/>
        </w:rPr>
      </w:pPr>
      <w:r>
        <w:rPr>
          <w:rFonts w:cs="Arial" w:ascii="Arial" w:hAnsi="Arial"/>
          <w:b w:val="false"/>
        </w:rPr>
        <w:t>Cracking and/or indications of cracking have been observed on some Row 2 turbine blades in W501F units.  The cracks and indications appear to emanate from the trailing edge and are primarily concentrated within one inch of the platform.  However, there have been cracks and indications found at heights over four inches from the platform.  In one instance, the cracking resulted in the separation of one blade just above the platform, which caused a forced outage and down-stream hardware damage.</w:t>
      </w:r>
    </w:p>
    <w:p>
      <w:pPr>
        <w:pStyle w:val="Normal"/>
        <w:ind w:start="360" w:end="0"/>
        <w:jc w:val="both"/>
        <w:rPr>
          <w:rFonts w:ascii="Arial" w:hAnsi="Arial" w:cs="Arial"/>
          <w:b w:val="false"/>
        </w:rPr>
      </w:pPr>
      <w:r>
        <w:rPr>
          <w:rFonts w:cs="Arial" w:ascii="Arial" w:hAnsi="Arial"/>
          <w:b w:val="false"/>
        </w:rPr>
      </w:r>
    </w:p>
    <w:p>
      <w:pPr>
        <w:pStyle w:val="Normal"/>
        <w:ind w:start="360" w:end="0"/>
        <w:jc w:val="both"/>
        <w:rPr>
          <w:rFonts w:ascii="Arial" w:hAnsi="Arial" w:cs="Arial"/>
          <w:b w:val="false"/>
        </w:rPr>
      </w:pPr>
      <w:r>
        <w:rPr>
          <w:rFonts w:cs="Arial" w:ascii="Arial" w:hAnsi="Arial"/>
          <w:b w:val="false"/>
        </w:rPr>
        <w:t xml:space="preserve">Based upon the analysis of the cracks and indications identified, their associated intervals of operation, and the investigation to date, more frequent inspections of Row 2 turbine blades are being advised per this document.  Siemens Westinghouse is continuing further investigations on the issue and may revise this Urgent Technical Advisory, as more data becomes available. </w:t>
      </w:r>
    </w:p>
    <w:p>
      <w:pPr>
        <w:pStyle w:val="Heading1"/>
        <w:ind w:hanging="0" w:start="0"/>
        <w:rPr>
          <w:rFonts w:ascii="Arial" w:hAnsi="Arial" w:cs="Arial"/>
          <w:lang w:val="en-US"/>
        </w:rPr>
      </w:pPr>
      <w:r>
        <w:rPr>
          <w:rFonts w:cs="Arial" w:ascii="Arial" w:hAnsi="Arial"/>
          <w:lang w:val="en-US"/>
        </w:rPr>
        <w:tab/>
      </w:r>
    </w:p>
    <w:p>
      <w:pPr>
        <w:pStyle w:val="Heading1"/>
        <w:ind w:hanging="0" w:start="0"/>
        <w:rPr>
          <w:rFonts w:ascii="Arial" w:hAnsi="Arial" w:cs="Arial"/>
          <w:b/>
          <w:lang w:val="en-US"/>
        </w:rPr>
      </w:pPr>
      <w:r>
        <w:rPr>
          <w:rFonts w:cs="Arial" w:ascii="Arial" w:hAnsi="Arial"/>
          <w:b/>
          <w:lang w:val="en-US"/>
        </w:rPr>
        <w:t>2.</w:t>
        <w:tab/>
        <w:t xml:space="preserve">Technical Recommendation </w:t>
      </w:r>
    </w:p>
    <w:p>
      <w:pPr>
        <w:pStyle w:val="Normal"/>
        <w:ind w:start="360" w:end="0"/>
        <w:jc w:val="both"/>
        <w:rPr>
          <w:rFonts w:ascii="Arial" w:hAnsi="Arial" w:cs="Arial"/>
          <w:color w:val="000000"/>
        </w:rPr>
      </w:pPr>
      <w:r>
        <w:rPr>
          <w:rFonts w:cs="Arial" w:ascii="Arial" w:hAnsi="Arial"/>
          <w:b w:val="false"/>
        </w:rPr>
        <w:t xml:space="preserve">Row 2 turbine blade trailing edges (either in-situ or with blade removed) must be properly inspected </w:t>
      </w:r>
      <w:r>
        <w:rPr>
          <w:rFonts w:cs="Arial" w:ascii="Arial" w:hAnsi="Arial"/>
          <w:b w:val="false"/>
          <w:color w:val="000000"/>
        </w:rPr>
        <w:t xml:space="preserve">within the lesser of the first 4,000 Equivalent Baseload Hours (EBH) or 400 Equivalent Starts (ES) of a new blade or newly refurbished blade.  Blades, which have already operated beyond this interval, must be immediately properly inspected.  After this initial inspection, blades must be properly inspected with subsequent intervals not to exceed the lesser of 1,000 EBH or 100 ES thereafter.  EBH and ES must be calculated per Service Bulletin 36803. </w:t>
      </w:r>
    </w:p>
    <w:p>
      <w:pPr>
        <w:pStyle w:val="Normal"/>
        <w:spacing w:before="120" w:after="120"/>
        <w:jc w:val="both"/>
        <w:rPr>
          <w:rFonts w:ascii="Arial" w:hAnsi="Arial" w:cs="Arial"/>
          <w:b w:val="false"/>
          <w:strike/>
          <w:color w:val="000000"/>
        </w:rPr>
      </w:pPr>
      <w:r>
        <w:rPr>
          <w:rFonts w:cs="Arial" w:ascii="Arial" w:hAnsi="Arial"/>
          <w:b w:val="false"/>
          <w:strike/>
          <w:color w:val="000000"/>
        </w:rPr>
      </w:r>
    </w:p>
    <w:p>
      <w:pPr>
        <w:pStyle w:val="Normal"/>
        <w:ind w:start="360" w:end="0"/>
        <w:jc w:val="both"/>
        <w:rPr>
          <w:rFonts w:ascii="Arial" w:hAnsi="Arial" w:cs="Arial"/>
          <w:b w:val="false"/>
          <w:strike/>
        </w:rPr>
      </w:pPr>
      <w:r>
        <w:rPr>
          <w:rFonts w:cs="Arial" w:ascii="Arial" w:hAnsi="Arial"/>
          <w:b w:val="false"/>
          <w:strike/>
        </w:rPr>
      </w:r>
    </w:p>
    <w:p>
      <w:pPr>
        <w:pStyle w:val="Normal"/>
        <w:spacing w:before="240" w:after="120"/>
        <w:ind w:start="360" w:end="0"/>
        <w:jc w:val="both"/>
        <w:rPr>
          <w:rFonts w:ascii="Arial" w:hAnsi="Arial" w:cs="Arial"/>
          <w:b w:val="false"/>
        </w:rPr>
      </w:pPr>
      <w:r>
        <w:rPr>
          <w:rFonts w:cs="Arial" w:ascii="Arial" w:hAnsi="Arial"/>
        </w:rPr>
        <w:t>Inspection Details:</w:t>
      </w:r>
    </w:p>
    <w:p>
      <w:pPr>
        <w:pStyle w:val="0"/>
        <w:numPr>
          <w:ilvl w:val="0"/>
          <w:numId w:val="3"/>
        </w:numPr>
        <w:tabs>
          <w:tab w:val="clear" w:pos="360"/>
          <w:tab w:val="left" w:pos="720" w:leader="none"/>
        </w:tabs>
        <w:spacing w:before="0" w:after="120"/>
        <w:ind w:hanging="360" w:start="720" w:end="0"/>
        <w:rPr>
          <w:rFonts w:ascii="Arial" w:hAnsi="Arial" w:cs="Arial"/>
        </w:rPr>
      </w:pPr>
      <w:r>
        <w:rPr>
          <w:rFonts w:cs="Arial" w:ascii="Arial" w:hAnsi="Arial"/>
        </w:rPr>
        <w:t>Contact your Siemens Westinghouse Combustion Turbine Project Manager, Field Sales office or Service representative to arrange for inspections.</w:t>
      </w:r>
    </w:p>
    <w:p>
      <w:pPr>
        <w:pStyle w:val="BodyTextIndent"/>
        <w:spacing w:before="240" w:after="120"/>
        <w:rPr>
          <w:rFonts w:ascii="Arial" w:hAnsi="Arial" w:cs="Arial"/>
          <w:b/>
        </w:rPr>
      </w:pPr>
      <w:r>
        <w:rPr>
          <w:rFonts w:cs="Arial" w:ascii="Arial" w:hAnsi="Arial"/>
          <w:b/>
        </w:rPr>
        <w:t>Inspection of Replacement Parts:</w:t>
      </w:r>
    </w:p>
    <w:p>
      <w:pPr>
        <w:pStyle w:val="Bullet"/>
        <w:numPr>
          <w:ilvl w:val="0"/>
          <w:numId w:val="2"/>
        </w:numPr>
        <w:tabs>
          <w:tab w:val="clear" w:pos="360"/>
          <w:tab w:val="left" w:pos="720" w:leader="none"/>
        </w:tabs>
        <w:spacing w:before="0" w:after="120"/>
        <w:ind w:hanging="360" w:start="720" w:end="0"/>
        <w:rPr>
          <w:rFonts w:ascii="Arial" w:hAnsi="Arial" w:cs="Arial"/>
        </w:rPr>
      </w:pPr>
      <w:r>
        <w:rPr>
          <w:rFonts w:cs="Arial" w:ascii="Arial" w:hAnsi="Arial"/>
        </w:rPr>
        <w:t>If blades require replacement, it is recommended that the replacement blades be inspected prior to installation. Contact your Siemens Westinghouse Combustion Turbine Project Manager, Field Sales office or Service representative to determine the applicability of this TA for the replacement parts.</w:t>
      </w:r>
    </w:p>
    <w:p>
      <w:pPr>
        <w:pStyle w:val="0"/>
        <w:spacing w:lineRule="atLeast" w:line="240" w:before="0" w:after="0"/>
        <w:ind w:start="720" w:end="0"/>
        <w:jc w:val="center"/>
        <w:rPr>
          <w:rFonts w:ascii="Arial" w:hAnsi="Arial" w:cs="Arial"/>
          <w:b/>
          <w:lang w:val="en-US"/>
        </w:rPr>
      </w:pPr>
      <w:r>
        <w:rPr>
          <w:rFonts w:cs="Arial" w:ascii="Arial" w:hAnsi="Arial"/>
          <w:b/>
          <w:lang w:val="en-US"/>
        </w:rPr>
      </w:r>
    </w:p>
    <w:p>
      <w:pPr>
        <w:pStyle w:val="0"/>
        <w:spacing w:lineRule="atLeast" w:line="240" w:before="0" w:after="0"/>
        <w:ind w:start="720" w:end="0"/>
        <w:jc w:val="center"/>
        <w:rPr>
          <w:rFonts w:ascii="Arial" w:hAnsi="Arial" w:cs="Arial"/>
          <w:b/>
          <w:lang w:val="en-US"/>
        </w:rPr>
      </w:pPr>
      <w:r>
        <w:rPr>
          <w:rFonts w:cs="Arial" w:ascii="Arial" w:hAnsi="Arial"/>
          <w:b/>
          <w:lang w:val="en-US"/>
        </w:rPr>
      </w:r>
    </w:p>
    <w:sectPr>
      <w:headerReference w:type="default" r:id="rId7"/>
      <w:footerReference w:type="default" r:id="rId8"/>
      <w:footerReference w:type="first" r:id="rId9"/>
      <w:type w:val="nextPage"/>
      <w:pgSz w:w="12240" w:h="15840"/>
      <w:pgMar w:left="1440" w:right="1440" w:gutter="0" w:header="720" w:top="1008" w:footer="475"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S 45 Light">
    <w:charset w:val="00" w:characterSet="windows-1252"/>
    <w:family w:val="swiss"/>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CG Times (WN)">
    <w:charset w:val="00" w:characterSet="windows-1252"/>
    <w:family w:val="roman"/>
    <w:pitch w:val="default"/>
  </w:font>
  <w:font w:name="Univers (WN)">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TA2000-007</w:t>
    </w:r>
  </w:p>
  <w:p>
    <w:pPr>
      <w:pStyle w:val="Footer"/>
      <w:rPr>
        <w:rFonts w:ascii="Arial" w:hAnsi="Arial" w:cs="Arial"/>
        <w:b/>
        <w:i w:val="false"/>
        <w:i w:val="false"/>
      </w:rPr>
    </w:pPr>
    <w:r>
      <w:rPr>
        <w:rFonts w:cs="Arial" w:ascii="Arial" w:hAnsi="Arial"/>
        <w:b/>
        <w:i w:val="false"/>
      </w:rPr>
      <w:t>© 2000 Siemens Westinghouse Power Corporation</w:t>
    </w:r>
  </w:p>
  <w:p>
    <w:pPr>
      <w:pStyle w:val="Footer"/>
      <w:rPr>
        <w:rFonts w:ascii="Arial" w:hAnsi="Arial" w:cs="Arial"/>
      </w:rPr>
    </w:pPr>
    <w:r>
      <w:rPr>
        <w:rFonts w:eastAsia="Arial" w:cs="Arial" w:ascii="Arial" w:hAnsi="Arial"/>
      </w:rPr>
      <w:t xml:space="preserve">             </w:t>
    </w:r>
    <w:r>
      <w:rPr>
        <w:rFonts w:cs="Arial" w:ascii="Arial" w:hAnsi="Arial"/>
      </w:rPr>
      <w:t>A Siemens Company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TA2000-007</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Arial" w:hAnsi="Arial" w:cs="Arial"/>
        <w:i w:val="false"/>
        <w:i w:val="false"/>
      </w:rPr>
    </w:pPr>
    <w:r>
      <w:rPr>
        <w:rFonts w:cs="Arial" w:ascii="Arial" w:hAnsi="Arial"/>
        <w:i w:val="false"/>
      </w:rPr>
      <w:t>TA2000-007</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efaultParagraphFont1"/>
      <w:tabs>
        <w:tab w:val="clear" w:pos="360"/>
        <w:tab w:val="left" w:pos="4680" w:leader="none"/>
        <w:tab w:val="right" w:pos="9360" w:leader="none"/>
      </w:tabs>
      <w:jc w:val="end"/>
      <w:rPr>
        <w:rFonts w:ascii="Arial" w:hAnsi="Arial" w:cs="Arial"/>
        <w:position w:val="-2"/>
      </w:rPr>
    </w:pPr>
    <w:r>
      <w:rPr>
        <w:rFonts w:cs="Arial" w:ascii="Arial" w:hAnsi="Arial"/>
        <w:position w:val="-2"/>
      </w:rPr>
      <w:tab/>
    </w:r>
    <w:r>
      <w:rPr>
        <w:rFonts w:cs="Arial" w:ascii="Arial" w:hAnsi="Arial"/>
        <w:b/>
        <w:position w:val="-2"/>
      </w:rPr>
      <w:t>TA 2000-007</w:t>
    </w:r>
  </w:p>
  <w:p>
    <w:pPr>
      <w:pStyle w:val="DefaultParagraphFont1"/>
      <w:tabs>
        <w:tab w:val="clear" w:pos="360"/>
        <w:tab w:val="left" w:pos="4680" w:leader="none"/>
        <w:tab w:val="right" w:pos="9360" w:leader="none"/>
      </w:tabs>
      <w:rPr>
        <w:rFonts w:ascii="Arial" w:hAnsi="Arial" w:cs="Arial"/>
      </w:rPr>
    </w:pPr>
    <w:r>
      <w:rPr>
        <w:rFonts w:cs="Arial" w:ascii="Arial" w:hAnsi="Arial"/>
        <w:position w:val="-2"/>
      </w:rPr>
      <w:tab/>
      <w:tab/>
      <w:t xml:space="preserve">Page </w:t>
    </w:r>
    <w:r>
      <w:rPr>
        <w:rFonts w:cs="Arial" w:ascii="Arial" w:hAnsi="Arial"/>
        <w:position w:val="-2"/>
      </w:rPr>
      <w:fldChar w:fldCharType="begin"/>
    </w:r>
    <w:r>
      <w:rPr>
        <w:position w:val="-2"/>
        <w:rFonts w:cs="Arial" w:ascii="Arial" w:hAnsi="Arial"/>
      </w:rPr>
      <w:instrText xml:space="preserve"> PAGE </w:instrText>
    </w:r>
    <w:r>
      <w:rPr>
        <w:position w:val="-2"/>
        <w:rFonts w:cs="Arial" w:ascii="Arial" w:hAnsi="Arial"/>
      </w:rPr>
      <w:fldChar w:fldCharType="separate"/>
    </w:r>
    <w:r>
      <w:rPr>
        <w:position w:val="-2"/>
        <w:rFonts w:cs="Arial" w:ascii="Arial" w:hAnsi="Arial"/>
      </w:rPr>
      <w:t>2</w:t>
    </w:r>
    <w:r>
      <w:rPr>
        <w:position w:val="-2"/>
        <w:rFonts w:cs="Arial" w:ascii="Arial" w:hAnsi="Arial"/>
      </w:rPr>
      <w:fldChar w:fldCharType="end"/>
    </w:r>
    <w:r>
      <w:rPr>
        <w:rFonts w:cs="Arial" w:ascii="Arial" w:hAnsi="Arial"/>
        <w:position w:val="-2"/>
      </w:rPr>
      <w:t xml:space="preserve"> of 2</w:t>
    </w:r>
  </w:p>
  <w:p>
    <w:pPr>
      <w:pStyle w:val="Header"/>
      <w:tabs>
        <w:tab w:val="clear" w:pos="4320"/>
        <w:tab w:val="clear" w:pos="8640"/>
        <w:tab w:val="center" w:pos="4680" w:leader="none"/>
        <w:tab w:val="right" w:pos="9360" w:leader="none"/>
      </w:tabs>
      <w:rPr/>
    </w:pPr>
    <w:r>
      <w:rPr>
        <w:rFonts w:cs="Arial" w:ascii="Arial" w:hAnsi="Arial"/>
      </w:rPr>
      <w:tab/>
    </w:r>
    <w:r>
      <w:rPr>
        <w:rFonts w:cs="Arial" w:ascii="Arial" w:hAnsi="Arial"/>
        <w:position w:val="-2"/>
      </w:rPr>
      <w:t>Proprietary</w:t>
    </w:r>
  </w:p>
  <w:p>
    <w:pPr>
      <w:pStyle w:val="Header"/>
      <w:tabs>
        <w:tab w:val="clear" w:pos="4320"/>
        <w:tab w:val="clear" w:pos="8640"/>
        <w:tab w:val="center" w:pos="4680" w:leader="none"/>
        <w:tab w:val="right" w:pos="9360" w:leader="none"/>
      </w:tabs>
      <w:rPr>
        <w:rFonts w:ascii="Arial" w:hAnsi="Arial" w:cs="Arial"/>
      </w:rPr>
    </w:pPr>
    <w:r>
      <w:rPr>
        <w:rFonts w:cs="Arial" w:ascii="Arial" w:hAnsi="Arial"/>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Times New Roman" w:hAnsi="Times New Roman" w:cs="Times New Roman" w:hint="default"/>
        <w:sz w:val="22"/>
      </w:rPr>
    </w:lvl>
  </w:abstractNum>
  <w:abstractNum w:abstractNumId="3">
    <w:lvl w:ilvl="0">
      <w:numFmt w:val="bullet"/>
      <w:lvlText w:val="-"/>
      <w:lvlJc w:val="start"/>
      <w:pPr>
        <w:tabs>
          <w:tab w:val="num" w:pos="360"/>
        </w:tabs>
        <w:ind w:start="360" w:hanging="360"/>
      </w:pPr>
      <w:rPr>
        <w:rFonts w:ascii="Times New Roman" w:hAnsi="Times New Roman" w:cs="Times New Roman" w:hint="default"/>
        <w:sz w:val="22"/>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revisionView w:insDel="0" w:formatting="0"/>
  <w:defaultTabStop w:val="36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UniversS 45 Light" w:hAnsi="UniversS 45 Light" w:eastAsia="Times New Roman" w:cs="UniversS 45 Light"/>
      <w:b/>
      <w:color w:val="auto"/>
      <w:sz w:val="24"/>
      <w:szCs w:val="20"/>
      <w:lang w:val="en-US" w:eastAsia="zh-CN" w:bidi="hi-IN"/>
    </w:rPr>
  </w:style>
  <w:style w:type="paragraph" w:styleId="Heading1">
    <w:name w:val="heading 1"/>
    <w:basedOn w:val="DefaultParagraphFont1"/>
    <w:next w:val="0"/>
    <w:qFormat/>
    <w:pPr>
      <w:keepNext w:val="true"/>
      <w:numPr>
        <w:ilvl w:val="0"/>
        <w:numId w:val="1"/>
      </w:numPr>
      <w:spacing w:before="0" w:after="240"/>
      <w:outlineLvl w:val="0"/>
    </w:pPr>
    <w:rPr>
      <w:caps/>
      <w:sz w:val="24"/>
    </w:rPr>
  </w:style>
  <w:style w:type="paragraph" w:styleId="Heading2">
    <w:name w:val="heading 2"/>
    <w:basedOn w:val="DefaultParagraphFont1"/>
    <w:next w:val="0"/>
    <w:qFormat/>
    <w:pPr>
      <w:keepNext w:val="true"/>
      <w:numPr>
        <w:ilvl w:val="1"/>
        <w:numId w:val="1"/>
      </w:numPr>
      <w:spacing w:before="0" w:after="240"/>
      <w:outlineLvl w:val="1"/>
    </w:pPr>
    <w:rPr>
      <w:b/>
      <w:caps/>
      <w:sz w:val="24"/>
    </w:rPr>
  </w:style>
  <w:style w:type="paragraph" w:styleId="Heading3">
    <w:name w:val="heading 3"/>
    <w:basedOn w:val="DefaultParagraphFont1"/>
    <w:next w:val="0"/>
    <w:qFormat/>
    <w:pPr>
      <w:keepNext w:val="true"/>
      <w:numPr>
        <w:ilvl w:val="2"/>
        <w:numId w:val="1"/>
      </w:numPr>
      <w:spacing w:before="0" w:after="240"/>
      <w:outlineLvl w:val="2"/>
    </w:pPr>
    <w:rPr>
      <w:sz w:val="24"/>
    </w:rPr>
  </w:style>
  <w:style w:type="paragraph" w:styleId="Heading4">
    <w:name w:val="heading 4"/>
    <w:basedOn w:val="DefaultParagraphFont1"/>
    <w:next w:val="0"/>
    <w:qFormat/>
    <w:pPr>
      <w:keepNext w:val="true"/>
      <w:numPr>
        <w:ilvl w:val="3"/>
        <w:numId w:val="1"/>
      </w:numPr>
      <w:spacing w:before="0" w:after="240"/>
      <w:outlineLvl w:val="3"/>
    </w:pPr>
    <w:rPr>
      <w:sz w:val="24"/>
      <w:u w:val="single"/>
    </w:rPr>
  </w:style>
  <w:style w:type="paragraph" w:styleId="Heading5">
    <w:name w:val="heading 5"/>
    <w:basedOn w:val="Normal"/>
    <w:next w:val="Normal"/>
    <w:qFormat/>
    <w:pPr>
      <w:keepNext w:val="true"/>
      <w:numPr>
        <w:ilvl w:val="4"/>
        <w:numId w:val="1"/>
      </w:numPr>
      <w:jc w:val="center"/>
      <w:outlineLvl w:val="4"/>
    </w:pPr>
    <w:rPr>
      <w:sz w:val="32"/>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ind w:hanging="0" w:start="3420" w:end="0"/>
      <w:outlineLvl w:val="6"/>
    </w:pPr>
    <w:rPr>
      <w:rFonts w:ascii="Arial" w:hAnsi="Arial" w:cs="Arial"/>
    </w:rPr>
  </w:style>
  <w:style w:type="paragraph" w:styleId="Heading8">
    <w:name w:val="heading 8"/>
    <w:basedOn w:val="Normal"/>
    <w:next w:val="Normal"/>
    <w:qFormat/>
    <w:pPr>
      <w:keepNext w:val="true"/>
      <w:numPr>
        <w:ilvl w:val="7"/>
        <w:numId w:val="1"/>
      </w:numPr>
      <w:outlineLvl w:val="7"/>
    </w:pPr>
    <w:rPr>
      <w:rFonts w:ascii="Arial" w:hAnsi="Arial" w:cs="Arial"/>
      <w:sz w:val="18"/>
    </w:rPr>
  </w:style>
  <w:style w:type="paragraph" w:styleId="Heading9">
    <w:name w:val="heading 9"/>
    <w:basedOn w:val="Normal"/>
    <w:next w:val="Normal"/>
    <w:qFormat/>
    <w:pPr>
      <w:keepNext w:val="true"/>
      <w:numPr>
        <w:ilvl w:val="8"/>
        <w:numId w:val="1"/>
      </w:numPr>
      <w:jc w:val="center"/>
      <w:outlineLvl w:val="8"/>
    </w:pPr>
    <w:rPr>
      <w:rFonts w:ascii="Arial" w:hAnsi="Arial" w:cs="Arial"/>
      <w:color w:val="FF0000"/>
      <w:sz w:val="18"/>
    </w:rPr>
  </w:style>
  <w:style w:type="character" w:styleId="WW8Num1z0">
    <w:name w:val="WW8Num1z0"/>
    <w:qFormat/>
    <w:rPr>
      <w:b w:val="false"/>
      <w:color w:val="000000"/>
      <w:sz w:val="20"/>
    </w:rPr>
  </w:style>
  <w:style w:type="character" w:styleId="WW8Num2z0">
    <w:name w:val="WW8Num2z0"/>
    <w:qFormat/>
    <w:rPr/>
  </w:style>
  <w:style w:type="character" w:styleId="WW8Num3z0">
    <w:name w:val="WW8Num3z0"/>
    <w:qFormat/>
    <w:rPr>
      <w:rFonts w:ascii="Times New Roman" w:hAnsi="Times New Roman" w:cs="Times New Roman"/>
      <w:sz w:val="22"/>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Times New Roman" w:hAnsi="Times New Roman" w:cs="Times New Roman"/>
      <w:sz w:val="22"/>
    </w:rPr>
  </w:style>
  <w:style w:type="character" w:styleId="WW8Num7z0">
    <w:name w:val="WW8Num7z0"/>
    <w:qFormat/>
    <w:rPr>
      <w:b w:val="false"/>
      <w:color w:val="000000"/>
      <w:sz w:val="20"/>
    </w:rPr>
  </w:style>
  <w:style w:type="character" w:styleId="WW8Num8z0">
    <w:name w:val="WW8Num8z0"/>
    <w:qFormat/>
    <w:rPr>
      <w:rFonts w:ascii="Times New Roman" w:hAnsi="Times New Roman" w:cs="Times New Roman"/>
      <w:sz w:val="22"/>
    </w:rPr>
  </w:style>
  <w:style w:type="character" w:styleId="WW8Num9z0">
    <w:name w:val="WW8Num9z0"/>
    <w:qFormat/>
    <w:rPr>
      <w:color w:val="000000"/>
      <w:sz w:val="20"/>
    </w:rPr>
  </w:style>
  <w:style w:type="character" w:styleId="WW8Num10z0">
    <w:name w:val="WW8Num10z0"/>
    <w:qFormat/>
    <w:rPr>
      <w:b w:val="false"/>
      <w:color w:val="000000"/>
      <w:sz w:val="20"/>
    </w:rPr>
  </w:style>
  <w:style w:type="character" w:styleId="WW8Num11z0">
    <w:name w:val="WW8Num11z0"/>
    <w:qFormat/>
    <w:rPr/>
  </w:style>
  <w:style w:type="character" w:styleId="WW8Num12z0">
    <w:name w:val="WW8Num12z0"/>
    <w:qFormat/>
    <w:rPr>
      <w:rFonts w:ascii="Times New Roman" w:hAnsi="Times New Roman" w:cs="Times New Roman"/>
      <w:sz w:val="22"/>
    </w:rPr>
  </w:style>
  <w:style w:type="character" w:styleId="WW8Num13z0">
    <w:name w:val="WW8Num13z0"/>
    <w:qFormat/>
    <w:rPr>
      <w:rFonts w:ascii="Times New Roman" w:hAnsi="Times New Roman" w:cs="Times New Roman"/>
      <w:sz w:val="22"/>
    </w:rPr>
  </w:style>
  <w:style w:type="character" w:styleId="WW8Num14z0">
    <w:name w:val="WW8Num14z0"/>
    <w:qFormat/>
    <w:rPr>
      <w:rFonts w:ascii="TIMES" w:hAnsi="TIMES" w:cs="TIMES"/>
      <w:b w:val="false"/>
      <w:i w:val="false"/>
      <w:sz w:val="24"/>
      <w:u w:val="none"/>
    </w:rPr>
  </w:style>
  <w:style w:type="character" w:styleId="WW8Num15z0">
    <w:name w:val="WW8Num15z0"/>
    <w:qFormat/>
    <w:rPr>
      <w:rFonts w:ascii="Times New Roman" w:hAnsi="Times New Roman" w:cs="Times New Roman"/>
      <w:sz w:val="22"/>
    </w:rPr>
  </w:style>
  <w:style w:type="character" w:styleId="WW8Num16z0">
    <w:name w:val="WW8Num16z0"/>
    <w:qFormat/>
    <w:rPr>
      <w:b/>
      <w:i w:val="false"/>
    </w:rPr>
  </w:style>
  <w:style w:type="character" w:styleId="WW8Num17z0">
    <w:name w:val="WW8Num17z0"/>
    <w:qFormat/>
    <w:rPr>
      <w:rFonts w:ascii="Times New Roman" w:hAnsi="Times New Roman" w:cs="Times New Roman"/>
      <w:sz w:val="22"/>
    </w:rPr>
  </w:style>
  <w:style w:type="character" w:styleId="WW8Num18z0">
    <w:name w:val="WW8Num18z0"/>
    <w:qFormat/>
    <w:rPr>
      <w:rFonts w:ascii="Symbol" w:hAnsi="Symbol" w:cs="Symbol"/>
    </w:rPr>
  </w:style>
  <w:style w:type="character" w:styleId="WW8Num19z0">
    <w:name w:val="WW8Num19z0"/>
    <w:qFormat/>
    <w:rPr>
      <w:b w:val="false"/>
      <w:color w:val="000000"/>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aultParagraphFont1">
    <w:name w:val="Default Paragraph Font1"/>
    <w:next w:val="Normal"/>
    <w:qFormat/>
    <w:pPr>
      <w:widowControl/>
      <w:bidi w:val="0"/>
    </w:pPr>
    <w:rPr>
      <w:rFonts w:ascii="TIMES" w:hAnsi="TIMES" w:eastAsia="Times New Roman" w:cs="TIMES"/>
      <w:color w:val="auto"/>
      <w:sz w:val="20"/>
      <w:szCs w:val="20"/>
      <w:lang w:val="en-CA" w:eastAsia="zh-CN" w:bidi="hi-IN"/>
    </w:rPr>
  </w:style>
  <w:style w:type="paragraph" w:styleId="0">
    <w:name w:val="0"/>
    <w:basedOn w:val="DefaultParagraphFont1"/>
    <w:qFormat/>
    <w:pPr>
      <w:spacing w:before="0" w:after="240"/>
    </w:pPr>
    <w:rPr>
      <w:sz w:val="24"/>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Footer">
    <w:name w:val="footer"/>
    <w:basedOn w:val="DefaultParagraphFont1"/>
    <w:pPr>
      <w:tabs>
        <w:tab w:val="clear" w:pos="360"/>
        <w:tab w:val="center" w:pos="4320" w:leader="none"/>
        <w:tab w:val="right" w:pos="8640" w:leader="none"/>
      </w:tabs>
    </w:pPr>
    <w:rPr>
      <w:i/>
      <w:sz w:val="16"/>
    </w:rPr>
  </w:style>
  <w:style w:type="paragraph" w:styleId="Header">
    <w:name w:val="header"/>
    <w:basedOn w:val="DefaultParagraphFont1"/>
    <w:pPr>
      <w:tabs>
        <w:tab w:val="clear" w:pos="360"/>
        <w:tab w:val="center" w:pos="4320" w:leader="none"/>
        <w:tab w:val="right" w:pos="8640" w:leader="none"/>
      </w:tabs>
    </w:pPr>
    <w:rPr>
      <w:sz w:val="24"/>
    </w:rPr>
  </w:style>
  <w:style w:type="paragraph" w:styleId="NormalIndent">
    <w:name w:val="Normal Indent"/>
    <w:basedOn w:val="DefaultParagraphFont1"/>
    <w:qFormat/>
    <w:pPr>
      <w:ind w:hanging="0" w:start="720" w:end="0"/>
    </w:pPr>
    <w:rPr>
      <w:sz w:val="24"/>
    </w:rPr>
  </w:style>
  <w:style w:type="paragraph" w:styleId="0hi">
    <w:name w:val="0hi"/>
    <w:basedOn w:val="DefaultParagraphFont1"/>
    <w:qFormat/>
    <w:pPr>
      <w:spacing w:before="0" w:after="240"/>
      <w:ind w:hanging="720" w:start="720" w:end="0"/>
    </w:pPr>
    <w:rPr>
      <w:sz w:val="24"/>
    </w:rPr>
  </w:style>
  <w:style w:type="paragraph" w:styleId="1">
    <w:name w:val="1"/>
    <w:basedOn w:val="DefaultParagraphFont1"/>
    <w:qFormat/>
    <w:pPr>
      <w:spacing w:before="0" w:after="240"/>
      <w:ind w:hanging="0" w:start="720" w:end="0"/>
    </w:pPr>
    <w:rPr>
      <w:sz w:val="24"/>
    </w:rPr>
  </w:style>
  <w:style w:type="paragraph" w:styleId="1hi">
    <w:name w:val="1hi"/>
    <w:basedOn w:val="DefaultParagraphFont1"/>
    <w:qFormat/>
    <w:pPr>
      <w:spacing w:before="0" w:after="240"/>
      <w:ind w:hanging="720" w:start="1440" w:end="0"/>
    </w:pPr>
    <w:rPr>
      <w:sz w:val="24"/>
    </w:rPr>
  </w:style>
  <w:style w:type="paragraph" w:styleId="Bullet">
    <w:name w:val="Bullet"/>
    <w:basedOn w:val="DefaultParagraphFont1"/>
    <w:qFormat/>
    <w:pPr>
      <w:ind w:hanging="360" w:start="360" w:end="0"/>
    </w:pPr>
    <w:rPr>
      <w:sz w:val="24"/>
    </w:rPr>
  </w:style>
  <w:style w:type="paragraph" w:styleId="2">
    <w:name w:val="2"/>
    <w:basedOn w:val="DefaultParagraphFont1"/>
    <w:qFormat/>
    <w:pPr>
      <w:spacing w:before="0" w:after="240"/>
      <w:ind w:hanging="0" w:start="1440" w:end="0"/>
    </w:pPr>
    <w:rPr>
      <w:sz w:val="24"/>
    </w:rPr>
  </w:style>
  <w:style w:type="paragraph" w:styleId="2hi">
    <w:name w:val="2hi"/>
    <w:basedOn w:val="DefaultParagraphFont1"/>
    <w:qFormat/>
    <w:pPr>
      <w:spacing w:before="0" w:after="240"/>
      <w:ind w:hanging="720" w:start="2160" w:end="0"/>
    </w:pPr>
    <w:rPr>
      <w:sz w:val="24"/>
    </w:rPr>
  </w:style>
  <w:style w:type="paragraph" w:styleId="3">
    <w:name w:val="3"/>
    <w:basedOn w:val="DefaultParagraphFont1"/>
    <w:qFormat/>
    <w:pPr>
      <w:spacing w:before="0" w:after="240"/>
      <w:ind w:hanging="0" w:start="2160" w:end="0"/>
    </w:pPr>
    <w:rPr>
      <w:sz w:val="24"/>
    </w:rPr>
  </w:style>
  <w:style w:type="paragraph" w:styleId="3hi">
    <w:name w:val="3hi"/>
    <w:basedOn w:val="DefaultParagraphFont1"/>
    <w:qFormat/>
    <w:pPr>
      <w:spacing w:before="0" w:after="240"/>
      <w:ind w:hanging="720" w:start="2880" w:end="0"/>
    </w:pPr>
    <w:rPr>
      <w:sz w:val="24"/>
    </w:rPr>
  </w:style>
  <w:style w:type="paragraph" w:styleId="4">
    <w:name w:val="4"/>
    <w:basedOn w:val="DefaultParagraphFont1"/>
    <w:qFormat/>
    <w:pPr>
      <w:spacing w:before="0" w:after="240"/>
      <w:ind w:hanging="0" w:start="2880" w:end="0"/>
    </w:pPr>
    <w:rPr>
      <w:sz w:val="24"/>
    </w:rPr>
  </w:style>
  <w:style w:type="paragraph" w:styleId="4hi">
    <w:name w:val="4hi"/>
    <w:basedOn w:val="DefaultParagraphFont1"/>
    <w:qFormat/>
    <w:pPr>
      <w:spacing w:before="0" w:after="240"/>
      <w:ind w:hanging="720" w:start="3600" w:end="0"/>
    </w:pPr>
    <w:rPr>
      <w:sz w:val="24"/>
    </w:rPr>
  </w:style>
  <w:style w:type="paragraph" w:styleId="5">
    <w:name w:val="5"/>
    <w:basedOn w:val="DefaultParagraphFont1"/>
    <w:qFormat/>
    <w:pPr>
      <w:spacing w:before="0" w:after="240"/>
      <w:ind w:hanging="0" w:start="3600" w:end="0"/>
    </w:pPr>
    <w:rPr>
      <w:sz w:val="24"/>
    </w:rPr>
  </w:style>
  <w:style w:type="paragraph" w:styleId="5hi">
    <w:name w:val="5hi"/>
    <w:basedOn w:val="DefaultParagraphFont1"/>
    <w:qFormat/>
    <w:pPr>
      <w:spacing w:before="0" w:after="240"/>
      <w:ind w:hanging="720" w:start="4320" w:end="0"/>
    </w:pPr>
    <w:rPr>
      <w:sz w:val="24"/>
    </w:rPr>
  </w:style>
  <w:style w:type="paragraph" w:styleId="CENTER1">
    <w:name w:val="CENTER 1"/>
    <w:basedOn w:val="DefaultParagraphFont1"/>
    <w:qFormat/>
    <w:pPr>
      <w:keepNext w:val="true"/>
      <w:spacing w:before="0" w:after="240"/>
      <w:jc w:val="center"/>
    </w:pPr>
    <w:rPr>
      <w:caps/>
      <w:sz w:val="24"/>
    </w:rPr>
  </w:style>
  <w:style w:type="paragraph" w:styleId="CENTER2">
    <w:name w:val="CENTER 2"/>
    <w:basedOn w:val="DefaultParagraphFont1"/>
    <w:qFormat/>
    <w:pPr>
      <w:keepNext w:val="true"/>
      <w:spacing w:before="0" w:after="240"/>
      <w:jc w:val="center"/>
    </w:pPr>
    <w:rPr>
      <w:sz w:val="24"/>
    </w:rPr>
  </w:style>
  <w:style w:type="paragraph" w:styleId="CENTER3">
    <w:name w:val="CENTER 3"/>
    <w:basedOn w:val="DefaultParagraphFont1"/>
    <w:qFormat/>
    <w:pPr>
      <w:keepNext w:val="true"/>
      <w:spacing w:before="0" w:after="240"/>
      <w:jc w:val="center"/>
    </w:pPr>
    <w:rPr>
      <w:b/>
      <w:caps/>
      <w:sz w:val="24"/>
    </w:rPr>
  </w:style>
  <w:style w:type="paragraph" w:styleId="misc">
    <w:name w:val="misc"/>
    <w:basedOn w:val="DefaultParagraphFont1"/>
    <w:qFormat/>
    <w:pPr/>
    <w:rPr>
      <w:rFonts w:ascii="CG Times (WN)" w:hAnsi="CG Times (WN)" w:cs="CG Times (WN)"/>
      <w:sz w:val="24"/>
    </w:rPr>
  </w:style>
  <w:style w:type="paragraph" w:styleId="Style11">
    <w:name w:val="Style1"/>
    <w:basedOn w:val="DefaultParagraphFont1"/>
    <w:qFormat/>
    <w:pPr/>
    <w:rPr>
      <w:rFonts w:ascii="Univers (WN)" w:hAnsi="Univers (WN)" w:cs="Univers (WN)"/>
      <w:b/>
      <w:sz w:val="24"/>
    </w:rPr>
  </w:style>
  <w:style w:type="paragraph" w:styleId="tenpoint">
    <w:name w:val="ten point"/>
    <w:basedOn w:val="DefaultParagraphFont1"/>
    <w:qFormat/>
    <w:pPr>
      <w:tabs>
        <w:tab w:val="clear" w:pos="360"/>
        <w:tab w:val="left" w:pos="540" w:leader="none"/>
        <w:tab w:val="left" w:pos="1080" w:leader="none"/>
        <w:tab w:val="left" w:pos="1620" w:leader="none"/>
      </w:tabs>
    </w:pPr>
    <w:rPr>
      <w:rFonts w:ascii="CG Times (WN)" w:hAnsi="CG Times (WN)" w:cs="CG Times (WN)"/>
    </w:rPr>
  </w:style>
  <w:style w:type="paragraph" w:styleId="CommentText">
    <w:name w:val="Comment Text"/>
    <w:basedOn w:val="Normal"/>
    <w:qFormat/>
    <w:pPr/>
    <w:rPr/>
  </w:style>
  <w:style w:type="paragraph" w:styleId="BlockText">
    <w:name w:val="Block Text"/>
    <w:basedOn w:val="Normal"/>
    <w:qFormat/>
    <w:pPr>
      <w:ind w:hanging="0" w:start="1440" w:end="1440"/>
      <w:jc w:val="both"/>
    </w:pPr>
    <w:rPr/>
  </w:style>
  <w:style w:type="paragraph" w:styleId="BodyTextIndent">
    <w:name w:val="Body Text Indent"/>
    <w:basedOn w:val="Normal"/>
    <w:pPr>
      <w:ind w:hanging="0" w:start="360" w:end="0"/>
      <w:jc w:val="both"/>
    </w:pPr>
    <w:rPr>
      <w:b w:val="false"/>
    </w:rPr>
  </w:style>
  <w:style w:type="paragraph" w:styleId="BodyText2">
    <w:name w:val="Body Text 2"/>
    <w:basedOn w:val="Normal"/>
    <w:qFormat/>
    <w:pPr>
      <w:jc w:val="both"/>
    </w:pPr>
    <w:rPr>
      <w:b w:val="false"/>
    </w:rPr>
  </w:style>
  <w:style w:type="paragraph" w:styleId="BodyTextIndent2">
    <w:name w:val="Body Text Indent 2"/>
    <w:basedOn w:val="Normal"/>
    <w:qFormat/>
    <w:pPr>
      <w:ind w:hanging="0" w:start="360" w:end="0"/>
    </w:pPr>
    <w:rPr>
      <w:rFonts w:ascii="Arial" w:hAnsi="Arial" w:cs="Arial"/>
      <w:b w:val="false"/>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1.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2000-08-02T18:21:00Z</dcterms:created>
  <dc:creator>Information Technology</dc:creator>
  <dc:description/>
  <dc:language>en-CA</dc:language>
  <cp:lastModifiedBy>robert werner</cp:lastModifiedBy>
  <cp:lastPrinted>2000-08-02T17:03:00Z</cp:lastPrinted>
  <dcterms:modified xsi:type="dcterms:W3CDTF">2000-08-02T18:35:00Z</dcterms:modified>
  <cp:revision>3</cp:revision>
  <dc:subject/>
  <dc:title> </dc:title>
</cp:coreProperties>
</file>