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T. J. MCREYNOLDS</w:t>
      </w:r>
    </w:p>
    <w:p>
      <w:pPr>
        <w:pStyle w:val="Normal"/>
        <w:widowControl w:val="false"/>
        <w:jc w:val="both"/>
        <w:rPr>
          <w:sz w:val="22"/>
          <w:lang w:eastAsia="en-US"/>
        </w:rPr>
      </w:pPr>
      <w:r>
        <w:rPr>
          <w:sz w:val="22"/>
          <w:lang w:eastAsia="en-US"/>
        </w:rPr>
      </w:r>
    </w:p>
    <w:p>
      <w:pPr>
        <w:pStyle w:val="Subtitle"/>
        <w:jc w:val="both"/>
        <w:rPr/>
      </w:pPr>
      <w:r>
        <w:rPr/>
        <w:t>EDUCATION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UNIVERSITY OF TEXAS</w:t>
      </w:r>
      <w:r>
        <w:rPr>
          <w:sz w:val="24"/>
          <w:lang w:eastAsia="en-US"/>
        </w:rPr>
        <w:t xml:space="preserve"> – Austin, Texas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>BBA, Accounting (9/80-5/82)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BRAZOSPORT JUNIOR COLLEGE</w:t>
      </w:r>
      <w:r>
        <w:rPr>
          <w:sz w:val="24"/>
          <w:lang w:eastAsia="en-US"/>
        </w:rPr>
        <w:t xml:space="preserve"> – Lake Jackson, Texas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>AA- Business (9/78-5/80)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Heading1"/>
        <w:ind w:hanging="0" w:start="0"/>
        <w:jc w:val="both"/>
        <w:rPr/>
      </w:pPr>
      <w:r>
        <w:rPr/>
        <w:t>EXPERIENCE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DYNEGY INC.</w:t>
      </w:r>
      <w:r>
        <w:rPr>
          <w:sz w:val="24"/>
          <w:lang w:eastAsia="en-US"/>
        </w:rPr>
        <w:t xml:space="preserve"> – Houston, Texas</w:t>
      </w:r>
    </w:p>
    <w:p>
      <w:pPr>
        <w:pStyle w:val="Normal"/>
        <w:widowControl w:val="false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Senior Director Planning &amp; Analysis – Energy Convergence (1/99-Present)</w:t>
      </w:r>
    </w:p>
    <w:p>
      <w:pPr>
        <w:pStyle w:val="Normal"/>
        <w:widowControl w:val="false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Designed and implemented a planning and reporting process for Gas/Power/Coal Trading, Retail, Power Generation, Canada, and Europe.  </w:t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Maintained and reported periodic earnings flash for near month and quarter as well as monthly analysis of actual versus plan.  </w:t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Coordinated and managed the annual Operating Plan and the Strategic Plan.  </w:t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Prepared Operations management for earnings discussions with internal and external audiences.  </w:t>
      </w:r>
    </w:p>
    <w:p>
      <w:pPr>
        <w:pStyle w:val="Normal"/>
        <w:widowControl w:val="false"/>
        <w:numPr>
          <w:ilvl w:val="0"/>
          <w:numId w:val="2"/>
        </w:numPr>
        <w:jc w:val="both"/>
        <w:rPr>
          <w:sz w:val="24"/>
          <w:lang w:eastAsia="en-US"/>
        </w:rPr>
      </w:pPr>
      <w:r>
        <w:rPr>
          <w:sz w:val="24"/>
          <w:lang w:eastAsia="en-US"/>
        </w:rPr>
        <w:t>Developed the quarterly Board reports for operations and project development.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widowControl w:val="false"/>
        <w:spacing w:before="0" w:after="40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Manager Planning &amp; Analysis – Power Corp. (6/98-12/99)</w:t>
      </w:r>
    </w:p>
    <w:p>
      <w:pPr>
        <w:pStyle w:val="Normal"/>
        <w:widowControl w:val="false"/>
        <w:spacing w:before="0" w:after="40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Manager Financial Planning &amp; Analysis - Corporate (6/97-5/98)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ALUMA-SYSTEMS USA INC.</w:t>
      </w:r>
      <w:r>
        <w:rPr>
          <w:sz w:val="24"/>
          <w:lang w:eastAsia="en-US"/>
        </w:rPr>
        <w:t xml:space="preserve"> – Houston, Texas</w:t>
      </w:r>
    </w:p>
    <w:p>
      <w:pPr>
        <w:pStyle w:val="Normal"/>
        <w:widowControl w:val="false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Manager of Accounting and Internal Audit (3/96-5/97)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TALON DEVELOPMENT COMPANY</w:t>
      </w:r>
      <w:r>
        <w:rPr>
          <w:sz w:val="24"/>
          <w:lang w:eastAsia="en-US"/>
        </w:rPr>
        <w:t xml:space="preserve"> – Houston, Texas</w:t>
      </w:r>
    </w:p>
    <w:p>
      <w:pPr>
        <w:pStyle w:val="Normal"/>
        <w:widowControl w:val="false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Accounting Manager (6/94-2/96)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METALLGESSELSCHAFT, INC.</w:t>
      </w:r>
      <w:r>
        <w:rPr>
          <w:sz w:val="24"/>
          <w:lang w:eastAsia="en-US"/>
        </w:rPr>
        <w:t xml:space="preserve"> – New York, New York</w:t>
      </w:r>
    </w:p>
    <w:p>
      <w:pPr>
        <w:pStyle w:val="Normal"/>
        <w:widowControl w:val="false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Senior Financial Analyst (1/94-5/94)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 xml:space="preserve">TORCH ENERGY ADVISORS, INC. </w:t>
      </w:r>
      <w:r>
        <w:rPr>
          <w:sz w:val="24"/>
          <w:lang w:eastAsia="en-US"/>
        </w:rPr>
        <w:t>– Houston, Texas</w:t>
      </w:r>
    </w:p>
    <w:p>
      <w:pPr>
        <w:pStyle w:val="Normal"/>
        <w:widowControl w:val="false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Manager Internal Audit (3/91-12/93)</w:t>
      </w:r>
    </w:p>
    <w:p>
      <w:pPr>
        <w:pStyle w:val="Normal"/>
        <w:widowControl w:val="false"/>
        <w:jc w:val="both"/>
        <w:rPr>
          <w:sz w:val="24"/>
          <w:lang w:eastAsia="en-US"/>
        </w:rPr>
      </w:pPr>
      <w:r>
        <w:rPr>
          <w:sz w:val="24"/>
          <w:lang w:eastAsia="en-US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b/>
          <w:sz w:val="24"/>
          <w:lang w:eastAsia="en-US"/>
        </w:rPr>
        <w:t>UNION TEXAS PETROLEUM, INC.</w:t>
      </w:r>
      <w:r>
        <w:rPr>
          <w:sz w:val="24"/>
          <w:lang w:eastAsia="en-US"/>
        </w:rPr>
        <w:t xml:space="preserve"> – Houston, Texas</w:t>
      </w:r>
    </w:p>
    <w:p>
      <w:pPr>
        <w:pStyle w:val="Normal"/>
        <w:widowControl w:val="false"/>
        <w:spacing w:before="0" w:after="40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 xml:space="preserve">Supervisor U. S. E &amp; P Planning (10/89-2/91) </w:t>
      </w:r>
    </w:p>
    <w:p>
      <w:pPr>
        <w:pStyle w:val="Normal"/>
        <w:widowControl w:val="false"/>
        <w:spacing w:before="0" w:after="40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Senior Internal Auditor (7/86-9/89)</w:t>
      </w:r>
    </w:p>
    <w:p>
      <w:pPr>
        <w:pStyle w:val="Normal"/>
        <w:widowControl w:val="false"/>
        <w:spacing w:before="0" w:after="40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Revenue Accounting (7/83-6/86)</w:t>
      </w:r>
    </w:p>
    <w:p>
      <w:pPr>
        <w:pStyle w:val="Normal"/>
        <w:widowControl w:val="false"/>
        <w:spacing w:before="0" w:after="40"/>
        <w:jc w:val="both"/>
        <w:rPr>
          <w:sz w:val="24"/>
          <w:u w:val="single"/>
          <w:lang w:eastAsia="en-US"/>
        </w:rPr>
      </w:pPr>
      <w:r>
        <w:rPr>
          <w:sz w:val="24"/>
          <w:u w:val="single"/>
          <w:lang w:eastAsia="en-US"/>
        </w:rPr>
        <w:t>Property Accounting (5/82-6/83)</w:t>
      </w:r>
    </w:p>
    <w:sectPr>
      <w:headerReference w:type="default" r:id="rId2"/>
      <w:type w:val="nextPage"/>
      <w:pgSz w:w="12240" w:h="15840"/>
      <w:pgMar w:left="1800" w:right="1800" w:gutter="0" w:header="720" w:top="230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lemishScript BT">
    <w:charset w:val="00" w:characterSet="windows-1252"/>
    <w:family w:val="script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12" w:space="1" w:color="000000"/>
      </w:pBdr>
      <w:rPr>
        <w:rFonts w:ascii="FlemishScript BT" w:hAnsi="FlemishScript BT" w:cs="FlemishScript BT"/>
        <w:sz w:val="70"/>
      </w:rPr>
    </w:pPr>
    <w:r>
      <w:rPr>
        <w:rFonts w:cs="FlemishScript BT" w:ascii="FlemishScript BT" w:hAnsi="FlemishScript BT"/>
        <w:sz w:val="70"/>
      </w:rPr>
      <w:t>The Tinsley Group, Inc.</w:t>
    </w:r>
  </w:p>
  <w:p>
    <w:pPr>
      <w:pStyle w:val="Header"/>
      <w:jc w:val="end"/>
      <w:rPr>
        <w:rFonts w:ascii="FlemishScript BT" w:hAnsi="FlemishScript BT" w:cs="FlemishScript BT"/>
        <w:sz w:val="36"/>
      </w:rPr>
    </w:pPr>
    <w:r>
      <w:rPr>
        <w:rFonts w:cs="FlemishScript BT" w:ascii="FlemishScript BT" w:hAnsi="FlemishScript BT"/>
        <w:sz w:val="36"/>
      </w:rPr>
      <w:t>Executive &amp; Professional Search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  <w:sz w:val="28"/>
      <w:u w:val="single"/>
      <w:lang w:eastAsia="en-US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b/>
      <w:sz w:val="32"/>
      <w:lang w:eastAsia="en-US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widowControl w:val="false"/>
    </w:pPr>
    <w:rPr>
      <w:b/>
      <w:sz w:val="28"/>
      <w:u w:val="single"/>
      <w:lang w:eastAsia="en-U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2000-06-05T17:54:00Z</dcterms:created>
  <dc:creator>Tinsley Group</dc:creator>
  <dc:description/>
  <dc:language>en-CA</dc:language>
  <cp:lastModifiedBy>Tinsley Group</cp:lastModifiedBy>
  <dcterms:modified xsi:type="dcterms:W3CDTF">2000-06-05T17:59:00Z</dcterms:modified>
  <cp:revision>2</cp:revision>
  <dc:subject/>
  <dc:title/>
</cp:coreProperties>
</file>