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Times New Roman" w:hAnsi="Times;Times New Roman" w:cs="Times;Times New Roman"/>
          <w:i/>
          <w:i/>
          <w:color w:val="000080"/>
          <w:sz w:val="28"/>
        </w:rPr>
      </w:pPr>
      <w:r>
        <w:rPr>
          <w:rFonts w:cs="Times;Times New Roman" w:ascii="Times;Times New Roman" w:hAnsi="Times;Times New Roman"/>
          <w:i/>
          <w:color w:val="000080"/>
          <w:sz w:val="28"/>
        </w:rPr>
        <w:t>CTN Live</w:t>
      </w:r>
    </w:p>
    <w:p>
      <w:pPr>
        <w:pStyle w:val="Normal"/>
        <w:jc w:val="center"/>
        <w:rPr>
          <w:rFonts w:ascii="Times;Times New Roman" w:hAnsi="Times;Times New Roman" w:cs="Times;Times New Roman"/>
          <w:b/>
          <w:i/>
          <w:i/>
          <w:color w:val="000080"/>
          <w:sz w:val="28"/>
        </w:rPr>
      </w:pPr>
      <w:r>
        <w:rPr>
          <w:rFonts w:cs="Times;Times New Roman"/>
          <w:b/>
          <w:i/>
          <w:color w:val="000080"/>
          <w:sz w:val="28"/>
        </w:rPr>
      </w:r>
    </w:p>
    <w:p>
      <w:pPr>
        <w:pStyle w:val="Subtitle"/>
        <w:rPr>
          <w:rFonts w:ascii="Times;Times New Roman" w:hAnsi="Times;Times New Roman" w:cs="Times;Times New Roman"/>
          <w:i/>
          <w:i/>
          <w:color w:val="800000"/>
          <w:sz w:val="32"/>
        </w:rPr>
      </w:pPr>
      <w:r>
        <w:rPr>
          <w:rFonts w:cs="Times;Times New Roman" w:ascii="Times;Times New Roman" w:hAnsi="Times;Times New Roman"/>
          <w:i/>
          <w:color w:val="800000"/>
          <w:sz w:val="32"/>
        </w:rPr>
        <w:t>“</w:t>
      </w:r>
      <w:r>
        <w:rPr>
          <w:rFonts w:cs="Times;Times New Roman" w:ascii="Times;Times New Roman" w:hAnsi="Times;Times New Roman"/>
          <w:i/>
          <w:color w:val="800000"/>
          <w:sz w:val="32"/>
        </w:rPr>
        <w:t>A Heightened Look at the Security of Our System”</w:t>
      </w:r>
    </w:p>
    <w:p>
      <w:pPr>
        <w:pStyle w:val="Normal"/>
        <w:jc w:val="center"/>
        <w:rPr>
          <w:rFonts w:ascii="Times;Times New Roman" w:hAnsi="Times;Times New Roman" w:cs="Times;Times New Roman"/>
          <w:b/>
          <w:i/>
          <w:i/>
          <w:color w:val="800000"/>
          <w:sz w:val="32"/>
        </w:rPr>
      </w:pPr>
      <w:r>
        <w:rPr>
          <w:rFonts w:cs="Times;Times New Roman"/>
          <w:b/>
          <w:i/>
          <w:color w:val="800000"/>
          <w:sz w:val="32"/>
        </w:rPr>
      </w:r>
    </w:p>
    <w:p>
      <w:pPr>
        <w:pStyle w:val="Heading3"/>
        <w:ind w:hanging="0" w:start="0"/>
        <w:rPr>
          <w:rFonts w:ascii="Times;Times New Roman" w:hAnsi="Times;Times New Roman" w:cs="Times;Times New Roman"/>
          <w:sz w:val="28"/>
        </w:rPr>
      </w:pPr>
      <w:r>
        <w:rPr>
          <w:rFonts w:cs="Times;Times New Roman" w:ascii="Times;Times New Roman" w:hAnsi="Times;Times New Roman"/>
          <w:sz w:val="28"/>
        </w:rPr>
        <w:t>November 1, 2001</w:t>
      </w:r>
    </w:p>
    <w:p>
      <w:pPr>
        <w:pStyle w:val="Normal"/>
        <w:jc w:val="center"/>
        <w:rPr>
          <w:b/>
          <w:sz w:val="20"/>
        </w:rPr>
      </w:pPr>
      <w:r>
        <w:rPr>
          <w:b/>
          <w:color w:val="000080"/>
          <w:sz w:val="20"/>
        </w:rPr>
        <w:t>8:30-10:00 a.m. MT,  9:30-11:00 a.m. CT,  10:30 a.m. – 12 noon ET</w:t>
      </w:r>
    </w:p>
    <w:p>
      <w:pPr>
        <w:pStyle w:val="Normal"/>
        <w:rPr>
          <w:b/>
          <w:sz w:val="20"/>
        </w:rPr>
      </w:pPr>
      <w:r>
        <w:rPr>
          <w:b/>
          <w:sz w:val="20"/>
        </w:rPr>
      </w:r>
    </w:p>
    <w:p>
      <w:pPr>
        <w:pStyle w:val="Normal"/>
        <w:jc w:val="center"/>
        <w:rPr>
          <w:b/>
          <w:i/>
          <w:i/>
          <w:sz w:val="22"/>
        </w:rPr>
      </w:pPr>
      <w:r>
        <w:rPr>
          <w:b/>
          <w:i/>
          <w:sz w:val="22"/>
        </w:rPr>
        <w:t>“</w:t>
      </w:r>
      <w:r>
        <w:rPr>
          <w:b/>
          <w:i/>
          <w:sz w:val="22"/>
        </w:rPr>
        <w:t>Now that we know what the ‘new normal’ is, we have work to do”</w:t>
      </w:r>
    </w:p>
    <w:p>
      <w:pPr>
        <w:pStyle w:val="Normal"/>
        <w:jc w:val="center"/>
        <w:rPr>
          <w:b/>
          <w:i/>
          <w:i/>
          <w:sz w:val="22"/>
        </w:rPr>
      </w:pPr>
      <w:r>
        <w:rPr>
          <w:b/>
          <w:i/>
          <w:sz w:val="22"/>
        </w:rPr>
        <w:t>Earl Nye, Chairman, TXU Corp.</w:t>
      </w:r>
    </w:p>
    <w:p>
      <w:pPr>
        <w:pStyle w:val="Normal"/>
        <w:rPr>
          <w:b/>
          <w:i/>
          <w:i/>
          <w:sz w:val="22"/>
        </w:rPr>
      </w:pPr>
      <w:r>
        <w:rPr>
          <w:b/>
          <w:i/>
          <w:sz w:val="22"/>
        </w:rPr>
      </w:r>
    </w:p>
    <w:p>
      <w:pPr>
        <w:pStyle w:val="Normal"/>
        <w:rPr/>
      </w:pPr>
      <w:r>
        <w:rPr>
          <w:b/>
          <w:smallCaps/>
          <w:color w:val="000080"/>
          <w:sz w:val="20"/>
        </w:rPr>
        <w:t>Target Audience</w:t>
      </w:r>
      <w:r>
        <w:rPr>
          <w:smallCaps/>
          <w:color w:val="000080"/>
        </w:rPr>
        <w:t>:</w:t>
      </w:r>
    </w:p>
    <w:p>
      <w:pPr>
        <w:pStyle w:val="Normal"/>
        <w:ind w:start="720" w:end="0"/>
        <w:rPr>
          <w:sz w:val="20"/>
        </w:rPr>
      </w:pPr>
      <w:r>
        <w:rPr>
          <w:sz w:val="20"/>
        </w:rPr>
        <w:t>Senior Executives, Team Leaders and management from Operations, Human Resources, Engineering, Safety, Environmental, Communications, and Regulatory</w:t>
      </w:r>
    </w:p>
    <w:p>
      <w:pPr>
        <w:pStyle w:val="Normal"/>
        <w:rPr>
          <w:sz w:val="20"/>
        </w:rPr>
      </w:pPr>
      <w:r>
        <w:rPr>
          <w:sz w:val="20"/>
        </w:rPr>
      </w:r>
    </w:p>
    <w:p>
      <w:pPr>
        <w:pStyle w:val="Heading1"/>
        <w:ind w:hanging="0" w:start="0"/>
        <w:rPr>
          <w:smallCaps/>
          <w:color w:val="000080"/>
        </w:rPr>
      </w:pPr>
      <w:r>
        <w:rPr>
          <w:smallCaps/>
          <w:color w:val="000080"/>
        </w:rPr>
        <w:t>Deliverables:</w:t>
      </w:r>
    </w:p>
    <w:p>
      <w:pPr>
        <w:pStyle w:val="Normal"/>
        <w:rPr>
          <w:sz w:val="20"/>
        </w:rPr>
      </w:pPr>
      <w:r>
        <w:rPr>
          <w:sz w:val="20"/>
        </w:rPr>
        <w:t>Persons viewing this Special Program will have a better understanding of the following:</w:t>
      </w:r>
    </w:p>
    <w:p>
      <w:pPr>
        <w:pStyle w:val="Normal"/>
        <w:numPr>
          <w:ilvl w:val="0"/>
          <w:numId w:val="2"/>
        </w:numPr>
        <w:rPr>
          <w:sz w:val="20"/>
        </w:rPr>
      </w:pPr>
      <w:r>
        <w:rPr>
          <w:sz w:val="20"/>
        </w:rPr>
        <w:t>Can the industry effectively secure the massive infrastructure within the United States?  If we cannot, what methodology do we utilize to determine and address our greatest risks?</w:t>
      </w:r>
    </w:p>
    <w:p>
      <w:pPr>
        <w:pStyle w:val="Normal"/>
        <w:numPr>
          <w:ilvl w:val="0"/>
          <w:numId w:val="2"/>
        </w:numPr>
        <w:rPr>
          <w:sz w:val="20"/>
        </w:rPr>
      </w:pPr>
      <w:r>
        <w:rPr>
          <w:sz w:val="20"/>
        </w:rPr>
        <w:t>What is the REAL threat to the gas infrastructure?  Do we understand what companies are trying to protect against?</w:t>
      </w:r>
    </w:p>
    <w:p>
      <w:pPr>
        <w:pStyle w:val="Normal"/>
        <w:numPr>
          <w:ilvl w:val="0"/>
          <w:numId w:val="2"/>
        </w:numPr>
        <w:rPr>
          <w:sz w:val="20"/>
        </w:rPr>
      </w:pPr>
      <w:r>
        <w:rPr>
          <w:sz w:val="20"/>
        </w:rPr>
        <w:t>How to effectively evaluate your current system security.</w:t>
      </w:r>
    </w:p>
    <w:p>
      <w:pPr>
        <w:pStyle w:val="Normal"/>
        <w:numPr>
          <w:ilvl w:val="0"/>
          <w:numId w:val="2"/>
        </w:numPr>
        <w:rPr>
          <w:sz w:val="20"/>
        </w:rPr>
      </w:pPr>
      <w:r>
        <w:rPr>
          <w:sz w:val="20"/>
        </w:rPr>
        <w:t>Proactive steps in creating alliances with homeland security, law enforcement and trade associations</w:t>
      </w:r>
    </w:p>
    <w:p>
      <w:pPr>
        <w:pStyle w:val="Normal"/>
        <w:numPr>
          <w:ilvl w:val="0"/>
          <w:numId w:val="2"/>
        </w:numPr>
        <w:rPr>
          <w:sz w:val="20"/>
        </w:rPr>
      </w:pPr>
      <w:r>
        <w:rPr>
          <w:sz w:val="20"/>
        </w:rPr>
        <w:t>Our ‘new normal’ will not be like the last…but what is the proper level of awareness we should have?  Should we look to foreign companies as our ‘new normal’ what may already be their standard operating procedures?</w:t>
      </w:r>
    </w:p>
    <w:p>
      <w:pPr>
        <w:pStyle w:val="Normal"/>
        <w:numPr>
          <w:ilvl w:val="0"/>
          <w:numId w:val="2"/>
        </w:numPr>
        <w:rPr>
          <w:sz w:val="20"/>
        </w:rPr>
      </w:pPr>
      <w:r>
        <w:rPr>
          <w:sz w:val="20"/>
        </w:rPr>
        <w:t xml:space="preserve">We may need to sacrifice “convenience” for the benefit of better security, but what does that mean?  </w:t>
      </w:r>
    </w:p>
    <w:p>
      <w:pPr>
        <w:pStyle w:val="Normal"/>
        <w:numPr>
          <w:ilvl w:val="0"/>
          <w:numId w:val="2"/>
        </w:numPr>
        <w:rPr>
          <w:sz w:val="20"/>
        </w:rPr>
      </w:pPr>
      <w:r>
        <w:rPr>
          <w:sz w:val="20"/>
        </w:rPr>
        <w:t>To increase security we will need to share less system information as widely…what information should we begin to hold more closely?</w:t>
      </w:r>
    </w:p>
    <w:p>
      <w:pPr>
        <w:pStyle w:val="Normal"/>
        <w:rPr>
          <w:sz w:val="20"/>
        </w:rPr>
      </w:pPr>
      <w:r>
        <w:rPr>
          <w:sz w:val="20"/>
        </w:rPr>
      </w:r>
    </w:p>
    <w:p>
      <w:pPr>
        <w:pStyle w:val="Normal"/>
        <w:rPr>
          <w:sz w:val="20"/>
        </w:rPr>
      </w:pPr>
      <w:r>
        <w:rPr>
          <w:sz w:val="20"/>
        </w:rPr>
        <w:t>The broadcast will be aired in three segments.  Each segment will follow the model:</w:t>
      </w:r>
    </w:p>
    <w:p>
      <w:pPr>
        <w:pStyle w:val="Normal"/>
        <w:rPr>
          <w:sz w:val="20"/>
        </w:rPr>
      </w:pPr>
      <w:r>
        <w:rPr>
          <w:sz w:val="20"/>
        </w:rPr>
      </w:r>
    </w:p>
    <w:p>
      <w:pPr>
        <w:pStyle w:val="Heading4"/>
        <w:ind w:hanging="0" w:start="0"/>
        <w:jc w:val="center"/>
        <w:rPr/>
      </w:pPr>
      <w:r>
        <w:rPr/>
        <w:t>Preparedness, Prevention, Protection, Response &amp; Recovery</w:t>
      </w:r>
    </w:p>
    <w:p>
      <w:pPr>
        <w:pStyle w:val="Normal"/>
        <w:rPr>
          <w:b/>
          <w:sz w:val="20"/>
        </w:rPr>
      </w:pPr>
      <w:r>
        <w:rPr>
          <w:b/>
          <w:sz w:val="20"/>
        </w:rPr>
      </w:r>
    </w:p>
    <w:tbl>
      <w:tblPr>
        <w:tblW w:w="8748" w:type="dxa"/>
        <w:jc w:val="start"/>
        <w:tblInd w:w="108" w:type="dxa"/>
        <w:tblLayout w:type="fixed"/>
        <w:tblCellMar>
          <w:top w:w="0" w:type="dxa"/>
          <w:start w:w="108" w:type="dxa"/>
          <w:bottom w:w="0" w:type="dxa"/>
          <w:end w:w="108" w:type="dxa"/>
        </w:tblCellMar>
      </w:tblPr>
      <w:tblGrid>
        <w:gridCol w:w="2430"/>
        <w:gridCol w:w="2880"/>
        <w:gridCol w:w="3438"/>
      </w:tblGrid>
      <w:tr>
        <w:trPr/>
        <w:tc>
          <w:tcPr>
            <w:tcW w:w="2430" w:type="dxa"/>
            <w:tcBorders>
              <w:top w:val="single" w:sz="4" w:space="0" w:color="000000"/>
              <w:start w:val="single" w:sz="4" w:space="0" w:color="000000"/>
              <w:bottom w:val="single" w:sz="4" w:space="0" w:color="000000"/>
              <w:end w:val="single" w:sz="4" w:space="0" w:color="000000"/>
            </w:tcBorders>
          </w:tcPr>
          <w:p>
            <w:pPr>
              <w:pStyle w:val="Heading2"/>
              <w:ind w:hanging="0" w:start="0"/>
              <w:rPr>
                <w:color w:val="800000"/>
              </w:rPr>
            </w:pPr>
            <w:r>
              <w:rPr>
                <w:color w:val="800000"/>
              </w:rPr>
              <w:t>Physical Assets</w:t>
            </w:r>
          </w:p>
        </w:tc>
        <w:tc>
          <w:tcPr>
            <w:tcW w:w="2880" w:type="dxa"/>
            <w:tcBorders>
              <w:top w:val="single" w:sz="4" w:space="0" w:color="000000"/>
              <w:start w:val="single" w:sz="4" w:space="0" w:color="000000"/>
              <w:bottom w:val="single" w:sz="4" w:space="0" w:color="000000"/>
              <w:end w:val="single" w:sz="4" w:space="0" w:color="000000"/>
            </w:tcBorders>
          </w:tcPr>
          <w:p>
            <w:pPr>
              <w:pStyle w:val="Heading2"/>
              <w:ind w:hanging="0" w:start="0"/>
              <w:rPr>
                <w:color w:val="800000"/>
              </w:rPr>
            </w:pPr>
            <w:r>
              <w:rPr>
                <w:color w:val="800000"/>
              </w:rPr>
              <w:t>Human Assets</w:t>
            </w:r>
          </w:p>
        </w:tc>
        <w:tc>
          <w:tcPr>
            <w:tcW w:w="3438" w:type="dxa"/>
            <w:tcBorders>
              <w:top w:val="single" w:sz="4" w:space="0" w:color="000000"/>
              <w:start w:val="single" w:sz="4" w:space="0" w:color="000000"/>
              <w:bottom w:val="single" w:sz="4" w:space="0" w:color="000000"/>
              <w:end w:val="single" w:sz="4" w:space="0" w:color="000000"/>
            </w:tcBorders>
          </w:tcPr>
          <w:p>
            <w:pPr>
              <w:pStyle w:val="Normal"/>
              <w:jc w:val="center"/>
              <w:rPr>
                <w:b/>
                <w:color w:val="800000"/>
                <w:sz w:val="20"/>
              </w:rPr>
            </w:pPr>
            <w:r>
              <w:rPr>
                <w:b/>
                <w:color w:val="800000"/>
                <w:sz w:val="20"/>
              </w:rPr>
              <w:t>Regulatory Response &amp; Expectation</w:t>
            </w:r>
          </w:p>
        </w:tc>
      </w:tr>
      <w:tr>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Risk Assessment</w:t>
            </w:r>
          </w:p>
          <w:p>
            <w:pPr>
              <w:pStyle w:val="Normal"/>
              <w:rPr>
                <w:sz w:val="20"/>
              </w:rPr>
            </w:pPr>
            <w:r>
              <w:rPr>
                <w:sz w:val="20"/>
              </w:rPr>
              <w:t>Existing System Security</w:t>
            </w:r>
          </w:p>
          <w:p>
            <w:pPr>
              <w:pStyle w:val="Normal"/>
              <w:rPr>
                <w:sz w:val="20"/>
              </w:rPr>
            </w:pPr>
            <w:r>
              <w:rPr>
                <w:sz w:val="20"/>
              </w:rPr>
              <w:t>Proactive Measures</w:t>
            </w:r>
          </w:p>
        </w:tc>
        <w:tc>
          <w:tcPr>
            <w:tcW w:w="28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The Pre-Event Process</w:t>
            </w:r>
          </w:p>
          <w:p>
            <w:pPr>
              <w:pStyle w:val="Normal"/>
              <w:rPr>
                <w:sz w:val="20"/>
              </w:rPr>
            </w:pPr>
            <w:r>
              <w:rPr>
                <w:sz w:val="20"/>
              </w:rPr>
              <w:t>During the Crisis or Event</w:t>
            </w:r>
          </w:p>
          <w:p>
            <w:pPr>
              <w:pStyle w:val="Normal"/>
              <w:rPr>
                <w:sz w:val="20"/>
              </w:rPr>
            </w:pPr>
            <w:r>
              <w:rPr>
                <w:sz w:val="20"/>
              </w:rPr>
              <w:t>Post Event Process</w:t>
            </w:r>
          </w:p>
        </w:tc>
        <w:tc>
          <w:tcPr>
            <w:tcW w:w="343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Increased Facilities Security</w:t>
            </w:r>
          </w:p>
          <w:p>
            <w:pPr>
              <w:pStyle w:val="Normal"/>
              <w:rPr>
                <w:sz w:val="20"/>
              </w:rPr>
            </w:pPr>
            <w:r>
              <w:rPr>
                <w:sz w:val="20"/>
              </w:rPr>
              <w:t>New Guidelines</w:t>
            </w:r>
          </w:p>
          <w:p>
            <w:pPr>
              <w:pStyle w:val="Normal"/>
              <w:rPr>
                <w:sz w:val="20"/>
              </w:rPr>
            </w:pPr>
            <w:r>
              <w:rPr>
                <w:sz w:val="20"/>
              </w:rPr>
              <w:t>Rate Relief</w:t>
            </w:r>
          </w:p>
        </w:tc>
      </w:tr>
    </w:tbl>
    <w:p>
      <w:pPr>
        <w:pStyle w:val="Normal"/>
        <w:rPr>
          <w:sz w:val="20"/>
        </w:rPr>
      </w:pPr>
      <w:r>
        <w:rPr>
          <w:sz w:val="20"/>
        </w:rPr>
        <w:tab/>
      </w:r>
    </w:p>
    <w:p>
      <w:pPr>
        <w:pStyle w:val="Normal"/>
        <w:rPr>
          <w:smallCaps/>
          <w:color w:val="000080"/>
          <w:sz w:val="20"/>
        </w:rPr>
      </w:pPr>
      <w:r>
        <w:rPr>
          <w:smallCaps/>
          <w:color w:val="000080"/>
          <w:sz w:val="20"/>
        </w:rPr>
        <w:t>Panelists include:</w:t>
      </w:r>
    </w:p>
    <w:p>
      <w:pPr>
        <w:pStyle w:val="Normal"/>
        <w:rPr>
          <w:sz w:val="20"/>
        </w:rPr>
      </w:pPr>
      <w:r>
        <w:rPr>
          <w:sz w:val="20"/>
        </w:rPr>
        <w:tab/>
        <w:t>Mr. Earl Nye, Chairman, TXU Corporation</w:t>
      </w:r>
    </w:p>
    <w:p>
      <w:pPr>
        <w:pStyle w:val="Normal"/>
        <w:rPr>
          <w:sz w:val="20"/>
        </w:rPr>
      </w:pPr>
      <w:r>
        <w:rPr>
          <w:sz w:val="20"/>
        </w:rPr>
        <w:tab/>
        <w:t xml:space="preserve">The Honorable Linda Breathitt, Federal Energy Regulatory Commission </w:t>
      </w:r>
      <w:r>
        <w:rPr>
          <w:i/>
          <w:sz w:val="20"/>
        </w:rPr>
        <w:t>(Invited)</w:t>
      </w:r>
    </w:p>
    <w:p>
      <w:pPr>
        <w:pStyle w:val="Normal"/>
        <w:rPr>
          <w:sz w:val="20"/>
        </w:rPr>
      </w:pPr>
      <w:r>
        <w:rPr>
          <w:sz w:val="20"/>
        </w:rPr>
        <w:tab/>
        <w:t>Ms Vicky Bailey, Assistant Secretary, Policy &amp; International Policy, Department of Energy</w:t>
      </w:r>
    </w:p>
    <w:p>
      <w:pPr>
        <w:pStyle w:val="Normal"/>
        <w:rPr>
          <w:sz w:val="20"/>
        </w:rPr>
      </w:pPr>
      <w:r>
        <w:rPr>
          <w:sz w:val="20"/>
        </w:rPr>
        <w:tab/>
        <w:t xml:space="preserve">Ms. Stacy Gerard, Office of Pipeline Safety </w:t>
      </w:r>
      <w:r>
        <w:rPr>
          <w:i/>
          <w:sz w:val="20"/>
        </w:rPr>
        <w:t>(Invited)</w:t>
      </w:r>
    </w:p>
    <w:p>
      <w:pPr>
        <w:pStyle w:val="Normal"/>
        <w:rPr>
          <w:sz w:val="20"/>
        </w:rPr>
      </w:pPr>
      <w:r>
        <w:rPr>
          <w:sz w:val="20"/>
        </w:rPr>
        <w:tab/>
        <w:t>Mr. Glynn Blanton, Chief of Pipeline Safety, Tennessee Regulatory Authority</w:t>
      </w:r>
    </w:p>
    <w:p>
      <w:pPr>
        <w:pStyle w:val="Normal"/>
        <w:rPr>
          <w:sz w:val="20"/>
        </w:rPr>
      </w:pPr>
      <w:r>
        <w:rPr>
          <w:sz w:val="20"/>
        </w:rPr>
        <w:tab/>
        <w:t>Dr. Karl Seger, Author &amp; Terrorism Expert, Associated Corporate Consultants</w:t>
      </w:r>
    </w:p>
    <w:p>
      <w:pPr>
        <w:pStyle w:val="Normal"/>
        <w:rPr>
          <w:sz w:val="20"/>
        </w:rPr>
      </w:pPr>
      <w:r>
        <w:rPr>
          <w:sz w:val="20"/>
        </w:rPr>
        <w:tab/>
        <w:t>Mr. Mike McGonagill, Vice President-U.S. Operations, Alliance Pipeline</w:t>
      </w:r>
    </w:p>
    <w:p>
      <w:pPr>
        <w:pStyle w:val="Normal"/>
        <w:rPr>
          <w:sz w:val="20"/>
        </w:rPr>
      </w:pPr>
      <w:r>
        <w:rPr>
          <w:sz w:val="20"/>
        </w:rPr>
        <w:tab/>
        <w:t>Mr. David Jones, Vice President-Eastern Operations, El Paso Pipeline Group</w:t>
      </w:r>
    </w:p>
    <w:p>
      <w:pPr>
        <w:pStyle w:val="Normal"/>
        <w:rPr>
          <w:sz w:val="20"/>
        </w:rPr>
      </w:pPr>
      <w:r>
        <w:rPr>
          <w:sz w:val="20"/>
        </w:rPr>
        <w:tab/>
        <w:t>Mr. Bill Burton, Senior Vice President-HR, Williams Gas Pipeline</w:t>
      </w:r>
    </w:p>
    <w:p>
      <w:pPr>
        <w:pStyle w:val="Normal"/>
        <w:rPr>
          <w:sz w:val="20"/>
        </w:rPr>
      </w:pPr>
      <w:r>
        <w:rPr>
          <w:sz w:val="20"/>
        </w:rPr>
        <w:tab/>
        <w:t>Mr. Lewis Griffith, Director-Corporate Security, Reliant Energy</w:t>
      </w:r>
    </w:p>
    <w:p>
      <w:pPr>
        <w:pStyle w:val="Normal"/>
        <w:rPr>
          <w:sz w:val="20"/>
        </w:rPr>
      </w:pPr>
      <w:r>
        <w:rPr>
          <w:sz w:val="20"/>
        </w:rPr>
        <w:tab/>
        <w:t>Mr. Gary Forman, Chief Security Officer, Columbia Gas Transmission, a NiSource Co.</w:t>
      </w:r>
    </w:p>
    <w:p>
      <w:pPr>
        <w:pStyle w:val="Normal"/>
        <w:rPr>
          <w:sz w:val="20"/>
        </w:rPr>
      </w:pPr>
      <w:r>
        <w:rPr>
          <w:sz w:val="20"/>
        </w:rPr>
        <w:tab/>
      </w:r>
    </w:p>
    <w:p>
      <w:pPr>
        <w:pStyle w:val="Normal"/>
        <w:rPr>
          <w:sz w:val="20"/>
        </w:rPr>
      </w:pPr>
      <w:r>
        <w:rPr>
          <w:sz w:val="20"/>
        </w:rPr>
      </w:r>
    </w:p>
    <w:p>
      <w:pPr>
        <w:pStyle w:val="Normal"/>
        <w:rPr>
          <w:sz w:val="20"/>
        </w:rPr>
      </w:pPr>
      <w:r>
        <w:rPr>
          <w:sz w:val="20"/>
        </w:rPr>
      </w:r>
    </w:p>
    <w:p>
      <w:pPr>
        <w:pStyle w:val="Normal"/>
        <w:rPr>
          <w:b/>
          <w:smallCaps/>
          <w:color w:val="000080"/>
          <w:sz w:val="28"/>
        </w:rPr>
      </w:pPr>
      <w:r>
        <w:rPr>
          <w:b/>
          <w:smallCaps/>
          <w:color w:val="000080"/>
          <w:sz w:val="28"/>
        </w:rPr>
        <w:t>Underwriting Sponsors:</w:t>
      </w:r>
    </w:p>
    <w:p>
      <w:pPr>
        <w:pStyle w:val="Normal"/>
        <w:rPr/>
      </w:pPr>
      <w:r>
        <w:rPr>
          <w:sz w:val="20"/>
        </w:rPr>
        <w:tab/>
      </w:r>
      <w:r>
        <w:rPr/>
        <w:t>Alabama Gas Corp</w:t>
        <w:tab/>
        <w:tab/>
        <w:tab/>
        <w:t>Duke Energy Corp.</w:t>
      </w:r>
    </w:p>
    <w:p>
      <w:pPr>
        <w:pStyle w:val="Normal"/>
        <w:rPr/>
      </w:pPr>
      <w:r>
        <w:rPr/>
        <w:tab/>
        <w:t>AGL Resources</w:t>
        <w:tab/>
        <w:tab/>
        <w:tab/>
        <w:t>Reliant Energy Entex</w:t>
      </w:r>
    </w:p>
    <w:p>
      <w:pPr>
        <w:pStyle w:val="Normal"/>
        <w:rPr/>
      </w:pPr>
      <w:r>
        <w:rPr/>
        <w:tab/>
        <w:t>Columbia Gas Transmission</w:t>
        <w:tab/>
        <w:tab/>
        <w:t>Southern Natural Gas Company</w:t>
      </w:r>
    </w:p>
    <w:p>
      <w:pPr>
        <w:pStyle w:val="Normal"/>
        <w:rPr/>
      </w:pPr>
      <w:r>
        <w:rPr/>
        <w:tab/>
        <w:t>Columbia Gulf Transmission</w:t>
      </w:r>
    </w:p>
    <w:p>
      <w:pPr>
        <w:pStyle w:val="Normal"/>
        <w:rPr>
          <w:sz w:val="20"/>
        </w:rPr>
      </w:pPr>
      <w:r>
        <w:rPr>
          <w:sz w:val="20"/>
        </w:rPr>
      </w:r>
    </w:p>
    <w:p>
      <w:pPr>
        <w:pStyle w:val="Normal"/>
        <w:rPr>
          <w:sz w:val="20"/>
        </w:rPr>
      </w:pPr>
      <w:r>
        <w:rPr>
          <w:sz w:val="20"/>
        </w:rPr>
      </w:r>
    </w:p>
    <w:p>
      <w:pPr>
        <w:pStyle w:val="Normal"/>
        <w:rPr>
          <w:b/>
          <w:smallCaps/>
          <w:color w:val="000080"/>
          <w:sz w:val="20"/>
        </w:rPr>
      </w:pPr>
      <w:r>
        <w:rPr>
          <w:b/>
          <w:smallCaps/>
          <w:color w:val="000080"/>
          <w:sz w:val="20"/>
        </w:rPr>
        <w:t>SITE  registration  Fees:</w:t>
      </w:r>
    </w:p>
    <w:p>
      <w:pPr>
        <w:pStyle w:val="Normal"/>
        <w:rPr>
          <w:b/>
          <w:smallCaps/>
          <w:color w:val="000080"/>
          <w:sz w:val="20"/>
        </w:rPr>
      </w:pPr>
      <w:r>
        <w:rPr>
          <w:b/>
          <w:smallCaps/>
          <w:color w:val="000080"/>
          <w:sz w:val="20"/>
        </w:rPr>
      </w:r>
    </w:p>
    <w:p>
      <w:pPr>
        <w:pStyle w:val="Normal"/>
        <w:rPr/>
      </w:pPr>
      <w:r>
        <w:rPr>
          <w:b/>
          <w:smallCaps/>
          <w:color w:val="000080"/>
          <w:sz w:val="20"/>
        </w:rPr>
        <w:tab/>
      </w:r>
      <w:r>
        <w:rPr>
          <w:sz w:val="20"/>
        </w:rPr>
        <w:t xml:space="preserve">CTN Subscribers </w:t>
        <w:tab/>
        <w:tab/>
        <w:t>$495.</w:t>
      </w:r>
    </w:p>
    <w:p>
      <w:pPr>
        <w:pStyle w:val="Normal"/>
        <w:rPr/>
      </w:pPr>
      <w:r>
        <w:rPr>
          <w:sz w:val="20"/>
        </w:rPr>
        <w:tab/>
        <w:t xml:space="preserve">SGA Members </w:t>
      </w:r>
      <w:r>
        <w:rPr>
          <w:bCs/>
          <w:smallCaps/>
          <w:sz w:val="20"/>
        </w:rPr>
        <w:t xml:space="preserve"> </w:t>
        <w:tab/>
        <w:tab/>
        <w:t>$595.</w:t>
      </w:r>
    </w:p>
    <w:p>
      <w:pPr>
        <w:pStyle w:val="Normal"/>
        <w:rPr/>
      </w:pPr>
      <w:r>
        <w:rPr>
          <w:bCs/>
          <w:smallCaps/>
          <w:sz w:val="20"/>
        </w:rPr>
        <w:tab/>
        <w:t>Non-SGA M</w:t>
      </w:r>
      <w:r>
        <w:rPr>
          <w:bCs/>
          <w:sz w:val="20"/>
        </w:rPr>
        <w:t xml:space="preserve">embers </w:t>
        <w:tab/>
        <w:t xml:space="preserve">$695. </w:t>
      </w:r>
    </w:p>
    <w:p>
      <w:pPr>
        <w:pStyle w:val="Normal"/>
        <w:rPr>
          <w:bCs/>
          <w:sz w:val="20"/>
        </w:rPr>
      </w:pPr>
      <w:r>
        <w:rPr>
          <w:bCs/>
          <w:sz w:val="20"/>
        </w:rPr>
      </w:r>
    </w:p>
    <w:p>
      <w:pPr>
        <w:pStyle w:val="Normal"/>
        <w:rPr/>
      </w:pPr>
      <w:r>
        <w:rPr>
          <w:b/>
          <w:smallCaps/>
          <w:color w:val="000080"/>
          <w:sz w:val="20"/>
        </w:rPr>
        <w:t>To register for this Broadcast, contact</w:t>
      </w:r>
      <w:r>
        <w:rPr>
          <w:b/>
          <w:color w:val="000080"/>
          <w:sz w:val="20"/>
        </w:rPr>
        <w:t>:</w:t>
      </w:r>
    </w:p>
    <w:p>
      <w:pPr>
        <w:pStyle w:val="Normal"/>
        <w:rPr>
          <w:b/>
          <w:color w:val="000080"/>
          <w:sz w:val="20"/>
        </w:rPr>
      </w:pPr>
      <w:r>
        <w:rPr>
          <w:b/>
          <w:color w:val="000080"/>
          <w:sz w:val="20"/>
        </w:rPr>
      </w:r>
    </w:p>
    <w:p>
      <w:pPr>
        <w:pStyle w:val="Normal"/>
        <w:rPr>
          <w:sz w:val="20"/>
        </w:rPr>
      </w:pPr>
      <w:r>
        <w:rPr>
          <w:sz w:val="20"/>
        </w:rPr>
        <w:tab/>
        <w:t>Nadine Fred</w:t>
      </w:r>
    </w:p>
    <w:p>
      <w:pPr>
        <w:pStyle w:val="Normal"/>
        <w:rPr>
          <w:sz w:val="20"/>
        </w:rPr>
      </w:pPr>
      <w:r>
        <w:rPr>
          <w:sz w:val="20"/>
        </w:rPr>
        <w:tab/>
        <w:t>CTN, the Energy Network</w:t>
      </w:r>
    </w:p>
    <w:p>
      <w:pPr>
        <w:pStyle w:val="Normal"/>
        <w:numPr>
          <w:ilvl w:val="2"/>
          <w:numId w:val="3"/>
        </w:numPr>
        <w:rPr>
          <w:sz w:val="20"/>
        </w:rPr>
      </w:pPr>
      <w:hyperlink r:id="rId2">
        <w:r>
          <w:rPr>
            <w:rStyle w:val="Hyperlink"/>
            <w:sz w:val="20"/>
          </w:rPr>
          <w:t>nfred@southerngas.org</w:t>
        </w:r>
      </w:hyperlink>
    </w:p>
    <w:p>
      <w:pPr>
        <w:pStyle w:val="Normal"/>
        <w:rPr>
          <w:sz w:val="20"/>
        </w:rPr>
      </w:pPr>
      <w:r>
        <w:rPr>
          <w:sz w:val="20"/>
        </w:rPr>
      </w:r>
    </w:p>
    <w:p>
      <w:pPr>
        <w:pStyle w:val="Normal"/>
        <w:rPr>
          <w:sz w:val="20"/>
        </w:rPr>
      </w:pPr>
      <w:r>
        <w:rPr>
          <w:sz w:val="20"/>
        </w:rPr>
      </w:r>
    </w:p>
    <w:p>
      <w:pPr>
        <w:pStyle w:val="Normal"/>
        <w:ind w:start="720" w:end="0"/>
        <w:rPr>
          <w:sz w:val="20"/>
        </w:rPr>
      </w:pPr>
      <w:r>
        <w:rPr>
          <w:sz w:val="20"/>
        </w:rPr>
        <w:t>Mary Landrum</w:t>
      </w:r>
    </w:p>
    <w:p>
      <w:pPr>
        <w:pStyle w:val="Normal"/>
        <w:ind w:start="720" w:end="0"/>
        <w:rPr>
          <w:sz w:val="20"/>
        </w:rPr>
      </w:pPr>
      <w:r>
        <w:rPr>
          <w:sz w:val="20"/>
        </w:rPr>
        <w:t>CTN, the Energy Network</w:t>
      </w:r>
    </w:p>
    <w:p>
      <w:pPr>
        <w:pStyle w:val="Normal"/>
        <w:numPr>
          <w:ilvl w:val="2"/>
          <w:numId w:val="4"/>
        </w:numPr>
        <w:rPr>
          <w:sz w:val="20"/>
        </w:rPr>
      </w:pPr>
      <w:hyperlink r:id="rId3">
        <w:r>
          <w:rPr>
            <w:rStyle w:val="Hyperlink"/>
            <w:sz w:val="20"/>
          </w:rPr>
          <w:t>mlandrum@southerngas.org</w:t>
        </w:r>
      </w:hyperlink>
    </w:p>
    <w:p>
      <w:pPr>
        <w:pStyle w:val="Normal"/>
        <w:rPr>
          <w:sz w:val="20"/>
        </w:rPr>
      </w:pPr>
      <w:r>
        <w:rPr>
          <w:sz w:val="20"/>
        </w:rPr>
      </w:r>
    </w:p>
    <w:p>
      <w:pPr>
        <w:pStyle w:val="Normal"/>
        <w:rPr>
          <w:sz w:val="20"/>
        </w:rPr>
      </w:pPr>
      <w:r>
        <w:rPr>
          <w:sz w:val="20"/>
        </w:rPr>
      </w:r>
    </w:p>
    <w:p>
      <w:pPr>
        <w:pStyle w:val="Normal"/>
        <w:rPr>
          <w:b/>
          <w:sz w:val="20"/>
        </w:rPr>
      </w:pPr>
      <w:r>
        <w:rPr>
          <w:b/>
          <w:sz w:val="20"/>
        </w:rPr>
      </w:r>
    </w:p>
    <w:p>
      <w:pPr>
        <w:pStyle w:val="Normal"/>
        <w:rPr>
          <w:b/>
          <w:sz w:val="20"/>
        </w:rPr>
      </w:pPr>
      <w:r>
        <w:rPr>
          <w:b/>
          <w:sz w:val="20"/>
        </w:rPr>
        <w:drawing>
          <wp:inline distT="0" distB="0" distL="0" distR="0">
            <wp:extent cx="1905000" cy="9779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4"/>
                    <a:srcRect l="-25" t="-49" r="-25" b="-49"/>
                    <a:stretch>
                      <a:fillRect/>
                    </a:stretch>
                  </pic:blipFill>
                  <pic:spPr bwMode="auto">
                    <a:xfrm>
                      <a:off x="0" y="0"/>
                      <a:ext cx="1905000" cy="977900"/>
                    </a:xfrm>
                    <a:prstGeom prst="rect">
                      <a:avLst/>
                    </a:prstGeom>
                    <a:noFill/>
                  </pic:spPr>
                </pic:pic>
              </a:graphicData>
            </a:graphic>
          </wp:inline>
        </w:drawing>
      </w:r>
    </w:p>
    <w:p>
      <w:pPr>
        <w:pStyle w:val="Normal"/>
        <w:ind w:start="720" w:end="0"/>
        <w:rPr>
          <w:b/>
          <w:sz w:val="20"/>
        </w:rPr>
      </w:pPr>
      <w:r>
        <w:rPr>
          <w:b/>
          <w:sz w:val="20"/>
        </w:rPr>
      </w:r>
    </w:p>
    <w:sectPr>
      <w:type w:val="nextPage"/>
      <w:pgSz w:w="12240" w:h="15840"/>
      <w:pgMar w:left="1800" w:right="1800" w:gutter="0" w:header="0" w:top="1440"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972"/>
      <w:numFmt w:val="decimal"/>
      <w:lvlText w:val="%1"/>
      <w:lvlJc w:val="start"/>
      <w:pPr>
        <w:tabs>
          <w:tab w:val="num" w:pos="1340"/>
        </w:tabs>
        <w:ind w:start="1340" w:hanging="1340"/>
      </w:pPr>
      <w:rPr/>
    </w:lvl>
    <w:lvl w:ilvl="1">
      <w:start w:val="620"/>
      <w:numFmt w:val="decimal"/>
      <w:lvlText w:val="%1-%2"/>
      <w:lvlJc w:val="start"/>
      <w:pPr>
        <w:tabs>
          <w:tab w:val="num" w:pos="1700"/>
        </w:tabs>
        <w:ind w:start="1700" w:hanging="1340"/>
      </w:pPr>
      <w:rPr/>
    </w:lvl>
    <w:lvl w:ilvl="2">
      <w:start w:val="4017"/>
      <w:numFmt w:val="decimal"/>
      <w:lvlText w:val="%1-%2-%3"/>
      <w:lvlJc w:val="start"/>
      <w:pPr>
        <w:tabs>
          <w:tab w:val="num" w:pos="2060"/>
        </w:tabs>
        <w:ind w:start="2060" w:hanging="1340"/>
      </w:pPr>
      <w:rPr/>
    </w:lvl>
    <w:lvl w:ilvl="3">
      <w:start w:val="1"/>
      <w:numFmt w:val="decimal"/>
      <w:lvlText w:val="%1-%2-%3.%4"/>
      <w:lvlJc w:val="start"/>
      <w:pPr>
        <w:tabs>
          <w:tab w:val="num" w:pos="2420"/>
        </w:tabs>
        <w:ind w:start="2420" w:hanging="1340"/>
      </w:pPr>
      <w:rPr/>
    </w:lvl>
    <w:lvl w:ilvl="4">
      <w:start w:val="1"/>
      <w:numFmt w:val="decimal"/>
      <w:lvlText w:val="%1-%2-%3.%4.%5"/>
      <w:lvlJc w:val="start"/>
      <w:pPr>
        <w:tabs>
          <w:tab w:val="num" w:pos="2780"/>
        </w:tabs>
        <w:ind w:start="2780" w:hanging="1340"/>
      </w:pPr>
      <w:rPr/>
    </w:lvl>
    <w:lvl w:ilvl="5">
      <w:start w:val="1"/>
      <w:numFmt w:val="decimal"/>
      <w:lvlText w:val="%1-%2-%3.%4.%5.%6"/>
      <w:lvlJc w:val="start"/>
      <w:pPr>
        <w:tabs>
          <w:tab w:val="num" w:pos="3140"/>
        </w:tabs>
        <w:ind w:start="3140" w:hanging="1340"/>
      </w:pPr>
      <w:rPr/>
    </w:lvl>
    <w:lvl w:ilvl="6">
      <w:start w:val="1"/>
      <w:numFmt w:val="decimal"/>
      <w:lvlText w:val="%1-%2-%3.%4.%5.%6.%7"/>
      <w:lvlJc w:val="start"/>
      <w:pPr>
        <w:tabs>
          <w:tab w:val="num" w:pos="3500"/>
        </w:tabs>
        <w:ind w:start="3500" w:hanging="13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320"/>
        </w:tabs>
        <w:ind w:start="4320" w:hanging="1440"/>
      </w:pPr>
      <w:rPr/>
    </w:lvl>
  </w:abstractNum>
  <w:abstractNum w:abstractNumId="4">
    <w:lvl w:ilvl="0">
      <w:start w:val="713"/>
      <w:numFmt w:val="decimal"/>
      <w:lvlText w:val="%1"/>
      <w:lvlJc w:val="start"/>
      <w:pPr>
        <w:tabs>
          <w:tab w:val="num" w:pos="1340"/>
        </w:tabs>
        <w:ind w:start="1340" w:hanging="1340"/>
      </w:pPr>
      <w:rPr/>
    </w:lvl>
    <w:lvl w:ilvl="1">
      <w:start w:val="722"/>
      <w:numFmt w:val="decimal"/>
      <w:lvlText w:val="%1-%2"/>
      <w:lvlJc w:val="start"/>
      <w:pPr>
        <w:tabs>
          <w:tab w:val="num" w:pos="1700"/>
        </w:tabs>
        <w:ind w:start="1700" w:hanging="1340"/>
      </w:pPr>
      <w:rPr/>
    </w:lvl>
    <w:lvl w:ilvl="2">
      <w:start w:val="8307"/>
      <w:numFmt w:val="decimal"/>
      <w:lvlText w:val="%1-%2-%3"/>
      <w:lvlJc w:val="start"/>
      <w:pPr>
        <w:tabs>
          <w:tab w:val="num" w:pos="2060"/>
        </w:tabs>
        <w:ind w:start="2060" w:hanging="1340"/>
      </w:pPr>
      <w:rPr/>
    </w:lvl>
    <w:lvl w:ilvl="3">
      <w:start w:val="1"/>
      <w:numFmt w:val="decimal"/>
      <w:lvlText w:val="%1-%2-%3.%4"/>
      <w:lvlJc w:val="start"/>
      <w:pPr>
        <w:tabs>
          <w:tab w:val="num" w:pos="2420"/>
        </w:tabs>
        <w:ind w:start="2420" w:hanging="1340"/>
      </w:pPr>
      <w:rPr/>
    </w:lvl>
    <w:lvl w:ilvl="4">
      <w:start w:val="1"/>
      <w:numFmt w:val="decimal"/>
      <w:lvlText w:val="%1-%2-%3.%4.%5"/>
      <w:lvlJc w:val="start"/>
      <w:pPr>
        <w:tabs>
          <w:tab w:val="num" w:pos="2780"/>
        </w:tabs>
        <w:ind w:start="2780" w:hanging="1340"/>
      </w:pPr>
      <w:rPr/>
    </w:lvl>
    <w:lvl w:ilvl="5">
      <w:start w:val="1"/>
      <w:numFmt w:val="decimal"/>
      <w:lvlText w:val="%1-%2-%3.%4.%5.%6"/>
      <w:lvlJc w:val="start"/>
      <w:pPr>
        <w:tabs>
          <w:tab w:val="num" w:pos="3140"/>
        </w:tabs>
        <w:ind w:start="3140" w:hanging="1340"/>
      </w:pPr>
      <w:rPr/>
    </w:lvl>
    <w:lvl w:ilvl="6">
      <w:start w:val="1"/>
      <w:numFmt w:val="decimal"/>
      <w:lvlText w:val="%1-%2-%3.%4.%5.%6.%7"/>
      <w:lvlJc w:val="start"/>
      <w:pPr>
        <w:tabs>
          <w:tab w:val="num" w:pos="3500"/>
        </w:tabs>
        <w:ind w:start="3500" w:hanging="13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320"/>
        </w:tabs>
        <w:ind w:start="4320" w:hanging="144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Times New Roman" w:hAnsi="Times;Times New Roman" w:eastAsia="Times;Times New Roman" w:cs="Time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z w:val="20"/>
    </w:rPr>
  </w:style>
  <w:style w:type="paragraph" w:styleId="Heading2">
    <w:name w:val="heading 2"/>
    <w:basedOn w:val="Normal"/>
    <w:next w:val="Normal"/>
    <w:qFormat/>
    <w:pPr>
      <w:keepNext w:val="true"/>
      <w:numPr>
        <w:ilvl w:val="1"/>
        <w:numId w:val="1"/>
      </w:numPr>
      <w:jc w:val="center"/>
      <w:outlineLvl w:val="1"/>
    </w:pPr>
    <w:rPr>
      <w:b/>
      <w:sz w:val="20"/>
    </w:rPr>
  </w:style>
  <w:style w:type="paragraph" w:styleId="Heading3">
    <w:name w:val="heading 3"/>
    <w:basedOn w:val="Normal"/>
    <w:next w:val="Normal"/>
    <w:qFormat/>
    <w:pPr>
      <w:keepNext w:val="true"/>
      <w:numPr>
        <w:ilvl w:val="2"/>
        <w:numId w:val="1"/>
      </w:numPr>
      <w:jc w:val="center"/>
      <w:outlineLvl w:val="2"/>
    </w:pPr>
    <w:rPr>
      <w:rFonts w:ascii="Arial" w:hAnsi="Arial" w:cs="Arial"/>
      <w:b/>
      <w:color w:val="000080"/>
    </w:rPr>
  </w:style>
  <w:style w:type="paragraph" w:styleId="Heading4">
    <w:name w:val="heading 4"/>
    <w:basedOn w:val="Normal"/>
    <w:next w:val="Normal"/>
    <w:qFormat/>
    <w:pPr>
      <w:keepNext w:val="true"/>
      <w:numPr>
        <w:ilvl w:val="3"/>
        <w:numId w:val="1"/>
      </w:numPr>
      <w:outlineLvl w:val="3"/>
    </w:pPr>
    <w:rPr>
      <w:b/>
      <w:color w:val="000080"/>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rFonts w:ascii="Arial" w:hAnsi="Arial" w:cs="Arial"/>
      <w:b/>
      <w:sz w:val="28"/>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fred@southerngas.org" TargetMode="External"/><Relationship Id="rId3" Type="http://schemas.openxmlformats.org/officeDocument/2006/relationships/hyperlink" Target="mailto:mlandrum@southerngas.org" TargetMode="External"/><Relationship Id="rId4"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2001-10-17T11:27:00Z</dcterms:created>
  <dc:creator>SGA Staff</dc:creator>
  <dc:description/>
  <dc:language>en-CA</dc:language>
  <cp:lastModifiedBy>Mary Grace Landrum</cp:lastModifiedBy>
  <cp:lastPrinted>2001-10-16T13:49:00Z</cp:lastPrinted>
  <dcterms:modified xsi:type="dcterms:W3CDTF">2001-10-17T20:37:00Z</dcterms:modified>
  <cp:revision>4</cp:revision>
  <dc:subject/>
  <dc:title>CTN Live</dc:title>
</cp:coreProperties>
</file>