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4"/>
          <w:szCs w:val="24"/>
        </w:rPr>
      </w:pPr>
      <w:r>
        <w:rPr>
          <w:b/>
          <w:bCs/>
          <w:sz w:val="24"/>
          <w:szCs w:val="24"/>
        </w:rPr>
        <w:t>Commission for Environmental Cooperation</w:t>
      </w:r>
    </w:p>
    <w:p>
      <w:pPr>
        <w:pStyle w:val="Normal"/>
        <w:jc w:val="center"/>
        <w:rPr>
          <w:b/>
          <w:bCs/>
          <w:sz w:val="24"/>
          <w:szCs w:val="24"/>
        </w:rPr>
      </w:pPr>
      <w:r>
        <w:rPr>
          <w:b/>
          <w:bCs/>
          <w:sz w:val="24"/>
          <w:szCs w:val="24"/>
        </w:rPr>
        <w:t>Article 13 Initiative: The Environmental Challenges and Opportunities of the Evolving Continental Electricity Market</w:t>
      </w:r>
    </w:p>
    <w:p>
      <w:pPr>
        <w:pStyle w:val="Normal"/>
        <w:jc w:val="center"/>
        <w:rPr>
          <w:b/>
          <w:bCs/>
          <w:sz w:val="24"/>
          <w:szCs w:val="24"/>
        </w:rPr>
      </w:pPr>
      <w:r>
        <w:rPr>
          <w:b/>
          <w:bCs/>
          <w:sz w:val="24"/>
          <w:szCs w:val="24"/>
        </w:rPr>
        <w:t xml:space="preserve"> </w:t>
      </w:r>
    </w:p>
    <w:p>
      <w:pPr>
        <w:pStyle w:val="Normal"/>
        <w:jc w:val="center"/>
        <w:rPr>
          <w:b/>
          <w:bCs/>
          <w:sz w:val="24"/>
          <w:szCs w:val="24"/>
        </w:rPr>
      </w:pPr>
      <w:r>
        <w:rPr>
          <w:b/>
          <w:bCs/>
          <w:sz w:val="24"/>
          <w:szCs w:val="24"/>
        </w:rPr>
        <w:t>Electricity Advisory Board</w:t>
      </w:r>
    </w:p>
    <w:p>
      <w:pPr>
        <w:pStyle w:val="Normal"/>
        <w:jc w:val="center"/>
        <w:rPr>
          <w:b/>
          <w:bCs/>
        </w:rPr>
      </w:pPr>
      <w:r>
        <w:rPr>
          <w:b/>
          <w:bCs/>
          <w:sz w:val="24"/>
          <w:szCs w:val="24"/>
        </w:rPr>
        <w:t>Conference Call</w:t>
      </w:r>
    </w:p>
    <w:p>
      <w:pPr>
        <w:pStyle w:val="Normal"/>
        <w:jc w:val="center"/>
        <w:rPr>
          <w:b/>
          <w:bCs/>
        </w:rPr>
      </w:pPr>
      <w:r>
        <w:rPr>
          <w:b/>
          <w:bCs/>
        </w:rPr>
      </w:r>
    </w:p>
    <w:p>
      <w:pPr>
        <w:pStyle w:val="Normal"/>
        <w:jc w:val="center"/>
        <w:rPr>
          <w:b/>
          <w:bCs/>
        </w:rPr>
      </w:pPr>
      <w:r>
        <w:rPr>
          <w:b/>
          <w:bCs/>
        </w:rPr>
        <w:t>24 May 2001, 3:00-4:00 PM</w:t>
      </w:r>
    </w:p>
    <w:p>
      <w:pPr>
        <w:pStyle w:val="Normal"/>
        <w:jc w:val="center"/>
        <w:rPr>
          <w:u w:val="single"/>
        </w:rPr>
      </w:pPr>
      <w:r>
        <w:rPr>
          <w:u w:val="single"/>
        </w:rPr>
      </w:r>
    </w:p>
    <w:p>
      <w:pPr>
        <w:pStyle w:val="Normal"/>
        <w:rPr>
          <w:b/>
          <w:bCs/>
          <w:sz w:val="22"/>
          <w:szCs w:val="22"/>
          <w:u w:val="single"/>
        </w:rPr>
      </w:pPr>
      <w:r>
        <w:rPr>
          <w:b/>
          <w:bCs/>
          <w:sz w:val="22"/>
          <w:szCs w:val="22"/>
          <w:u w:val="single"/>
        </w:rPr>
      </w:r>
    </w:p>
    <w:p>
      <w:pPr>
        <w:pStyle w:val="Normal"/>
        <w:rPr/>
      </w:pPr>
      <w:r>
        <w:rPr>
          <w:b/>
          <w:bCs/>
          <w:sz w:val="22"/>
          <w:szCs w:val="22"/>
          <w:u w:val="single"/>
        </w:rPr>
        <w:t>Participants:</w:t>
      </w:r>
      <w:r>
        <w:rPr>
          <w:sz w:val="22"/>
          <w:szCs w:val="22"/>
        </w:rPr>
        <w:tab/>
        <w:tab/>
        <w:tab/>
      </w:r>
    </w:p>
    <w:p>
      <w:pPr>
        <w:sectPr>
          <w:type w:val="nextPage"/>
          <w:pgSz w:w="12240" w:h="15840"/>
          <w:pgMar w:left="1440" w:right="1440" w:gutter="0" w:header="0" w:top="1440" w:footer="0" w:bottom="1440"/>
          <w:pgNumType w:fmt="decimal"/>
          <w:formProt w:val="false"/>
          <w:textDirection w:val="lrTb"/>
        </w:sectPr>
      </w:pPr>
    </w:p>
    <w:p>
      <w:pPr>
        <w:pStyle w:val="Normal"/>
        <w:rPr>
          <w:sz w:val="22"/>
          <w:szCs w:val="22"/>
        </w:rPr>
      </w:pPr>
      <w:r>
        <w:rPr>
          <w:sz w:val="22"/>
          <w:szCs w:val="22"/>
        </w:rPr>
        <w:t>Phil Sharp (Chair)</w:t>
      </w:r>
    </w:p>
    <w:p>
      <w:pPr>
        <w:pStyle w:val="Normal"/>
        <w:rPr>
          <w:sz w:val="22"/>
          <w:szCs w:val="22"/>
        </w:rPr>
      </w:pPr>
      <w:r>
        <w:rPr>
          <w:sz w:val="22"/>
          <w:szCs w:val="22"/>
        </w:rPr>
        <w:t>Jean-Étienne Klimpt</w:t>
      </w:r>
    </w:p>
    <w:p>
      <w:pPr>
        <w:pStyle w:val="Normal"/>
        <w:rPr>
          <w:sz w:val="22"/>
          <w:szCs w:val="22"/>
        </w:rPr>
      </w:pPr>
      <w:r>
        <w:rPr>
          <w:sz w:val="22"/>
          <w:szCs w:val="22"/>
        </w:rPr>
        <w:t>Christine Elwell</w:t>
      </w:r>
    </w:p>
    <w:p>
      <w:pPr>
        <w:pStyle w:val="Normal"/>
        <w:rPr>
          <w:sz w:val="22"/>
          <w:szCs w:val="22"/>
        </w:rPr>
      </w:pPr>
      <w:r>
        <w:rPr>
          <w:sz w:val="22"/>
          <w:szCs w:val="22"/>
        </w:rPr>
        <w:t>Susan Tomasky</w:t>
      </w:r>
    </w:p>
    <w:p>
      <w:pPr>
        <w:pStyle w:val="Normal"/>
        <w:rPr>
          <w:sz w:val="22"/>
          <w:szCs w:val="22"/>
        </w:rPr>
      </w:pPr>
      <w:r>
        <w:rPr>
          <w:sz w:val="22"/>
          <w:szCs w:val="22"/>
        </w:rPr>
        <w:t>Richard Drouin</w:t>
      </w:r>
    </w:p>
    <w:p>
      <w:pPr>
        <w:pStyle w:val="Normal"/>
        <w:rPr>
          <w:sz w:val="22"/>
          <w:szCs w:val="22"/>
        </w:rPr>
      </w:pPr>
      <w:r>
        <w:rPr>
          <w:sz w:val="22"/>
          <w:szCs w:val="22"/>
        </w:rPr>
        <w:t>Tom Rawls</w:t>
      </w:r>
    </w:p>
    <w:p>
      <w:pPr>
        <w:pStyle w:val="Normal"/>
        <w:rPr>
          <w:sz w:val="22"/>
          <w:szCs w:val="22"/>
        </w:rPr>
      </w:pPr>
      <w:r>
        <w:rPr>
          <w:sz w:val="22"/>
          <w:szCs w:val="22"/>
        </w:rPr>
        <w:t>Alberto Escofet</w:t>
      </w:r>
    </w:p>
    <w:p>
      <w:pPr>
        <w:pStyle w:val="Normal"/>
        <w:rPr>
          <w:sz w:val="22"/>
          <w:szCs w:val="22"/>
        </w:rPr>
      </w:pPr>
      <w:r>
        <w:rPr>
          <w:sz w:val="22"/>
          <w:szCs w:val="22"/>
        </w:rPr>
        <w:t>Steve Kean</w:t>
      </w:r>
    </w:p>
    <w:p>
      <w:pPr>
        <w:pStyle w:val="Normal"/>
        <w:rPr>
          <w:sz w:val="22"/>
          <w:szCs w:val="22"/>
        </w:rPr>
      </w:pPr>
      <w:r>
        <w:rPr>
          <w:sz w:val="22"/>
          <w:szCs w:val="22"/>
        </w:rPr>
        <w:t>Peter Berle</w:t>
      </w:r>
    </w:p>
    <w:p>
      <w:pPr>
        <w:pStyle w:val="Normal"/>
        <w:rPr>
          <w:sz w:val="22"/>
          <w:szCs w:val="22"/>
        </w:rPr>
      </w:pPr>
      <w:r>
        <w:rPr>
          <w:sz w:val="22"/>
          <w:szCs w:val="22"/>
        </w:rPr>
        <w:t>Pablo Mulas del Pozo</w:t>
      </w:r>
    </w:p>
    <w:p>
      <w:pPr>
        <w:sectPr>
          <w:type w:val="continuous"/>
          <w:pgSz w:w="12240" w:h="15840"/>
          <w:pgMar w:left="1440" w:right="1440" w:gutter="0" w:header="0" w:top="1440" w:footer="0" w:bottom="1440"/>
          <w:cols w:num="2" w:equalWidth="false" w:sep="false">
            <w:col w:w="2640" w:space="720"/>
            <w:col w:w="6000"/>
          </w:cols>
          <w:formProt w:val="false"/>
          <w:textDirection w:val="lrTb"/>
        </w:sectPr>
      </w:pPr>
    </w:p>
    <w:p>
      <w:pPr>
        <w:pStyle w:val="Normal"/>
        <w:rPr>
          <w:sz w:val="22"/>
          <w:szCs w:val="22"/>
        </w:rPr>
      </w:pPr>
      <w:r>
        <w:rPr>
          <w:sz w:val="22"/>
          <w:szCs w:val="22"/>
        </w:rPr>
      </w:r>
    </w:p>
    <w:p>
      <w:pPr>
        <w:pStyle w:val="Normal"/>
        <w:rPr>
          <w:sz w:val="22"/>
          <w:szCs w:val="22"/>
        </w:rPr>
      </w:pPr>
      <w:r>
        <w:rPr>
          <w:sz w:val="22"/>
          <w:szCs w:val="22"/>
        </w:rPr>
      </w:r>
    </w:p>
    <w:p>
      <w:pPr>
        <w:pStyle w:val="Normal"/>
        <w:rPr>
          <w:b/>
          <w:bCs/>
          <w:sz w:val="22"/>
          <w:szCs w:val="22"/>
          <w:u w:val="single"/>
        </w:rPr>
      </w:pPr>
      <w:r>
        <w:rPr>
          <w:b/>
          <w:bCs/>
          <w:sz w:val="22"/>
          <w:szCs w:val="22"/>
          <w:u w:val="single"/>
        </w:rPr>
        <w:t>CEC:</w:t>
      </w:r>
    </w:p>
    <w:p>
      <w:pPr>
        <w:pStyle w:val="Normal"/>
        <w:rPr>
          <w:sz w:val="22"/>
          <w:szCs w:val="22"/>
        </w:rPr>
      </w:pPr>
      <w:r>
        <w:rPr>
          <w:sz w:val="22"/>
          <w:szCs w:val="22"/>
        </w:rPr>
        <w:t>Greg Block</w:t>
      </w:r>
    </w:p>
    <w:p>
      <w:pPr>
        <w:pStyle w:val="Normal"/>
        <w:rPr>
          <w:sz w:val="22"/>
          <w:szCs w:val="22"/>
        </w:rPr>
      </w:pPr>
      <w:r>
        <w:rPr>
          <w:sz w:val="22"/>
          <w:szCs w:val="22"/>
        </w:rPr>
      </w:r>
    </w:p>
    <w:p>
      <w:pPr>
        <w:pStyle w:val="Normal"/>
        <w:rPr>
          <w:sz w:val="22"/>
          <w:szCs w:val="22"/>
        </w:rPr>
      </w:pPr>
      <w:r>
        <w:rPr>
          <w:sz w:val="22"/>
          <w:szCs w:val="22"/>
        </w:rPr>
        <w:t>Agenda: Items discussed</w:t>
      </w:r>
    </w:p>
    <w:p>
      <w:pPr>
        <w:pStyle w:val="Normal"/>
        <w:rPr>
          <w:sz w:val="22"/>
          <w:szCs w:val="22"/>
        </w:rPr>
      </w:pPr>
      <w:r>
        <w:rPr>
          <w:sz w:val="22"/>
          <w:szCs w:val="22"/>
        </w:rPr>
      </w:r>
    </w:p>
    <w:p>
      <w:pPr>
        <w:pStyle w:val="Normal"/>
        <w:numPr>
          <w:ilvl w:val="0"/>
          <w:numId w:val="3"/>
        </w:numPr>
        <w:tabs>
          <w:tab w:val="clear" w:pos="720"/>
          <w:tab w:val="left" w:pos="0" w:leader="none"/>
        </w:tabs>
        <w:ind w:hanging="1440" w:start="1440" w:end="0"/>
        <w:rPr>
          <w:sz w:val="22"/>
          <w:szCs w:val="22"/>
        </w:rPr>
      </w:pPr>
      <w:r>
        <w:rPr>
          <w:sz w:val="22"/>
          <w:szCs w:val="22"/>
        </w:rPr>
        <w:t>Secretariat update – progress, expert report, symposium</w:t>
      </w:r>
    </w:p>
    <w:p>
      <w:pPr>
        <w:pStyle w:val="Normal"/>
        <w:numPr>
          <w:ilvl w:val="0"/>
          <w:numId w:val="3"/>
        </w:numPr>
        <w:tabs>
          <w:tab w:val="clear" w:pos="720"/>
          <w:tab w:val="left" w:pos="0" w:leader="none"/>
        </w:tabs>
        <w:ind w:hanging="1440" w:start="1440" w:end="0"/>
        <w:rPr>
          <w:sz w:val="22"/>
          <w:szCs w:val="22"/>
        </w:rPr>
      </w:pPr>
      <w:r>
        <w:rPr>
          <w:sz w:val="22"/>
          <w:szCs w:val="22"/>
        </w:rPr>
        <w:t>Chair – next steps</w:t>
      </w:r>
    </w:p>
    <w:p>
      <w:pPr>
        <w:pStyle w:val="Normal"/>
        <w:numPr>
          <w:ilvl w:val="0"/>
          <w:numId w:val="3"/>
        </w:numPr>
        <w:tabs>
          <w:tab w:val="clear" w:pos="720"/>
          <w:tab w:val="left" w:pos="0" w:leader="none"/>
        </w:tabs>
        <w:ind w:hanging="720" w:start="1440" w:end="0"/>
        <w:rPr/>
      </w:pPr>
      <w:r>
        <w:rPr>
          <w:sz w:val="22"/>
          <w:szCs w:val="22"/>
        </w:rPr>
        <w:t>2</w:t>
      </w:r>
      <w:r>
        <w:rPr>
          <w:sz w:val="22"/>
          <w:szCs w:val="22"/>
          <w:vertAlign w:val="superscript"/>
        </w:rPr>
        <w:t>nd</w:t>
      </w:r>
      <w:r>
        <w:rPr>
          <w:sz w:val="22"/>
          <w:szCs w:val="22"/>
        </w:rPr>
        <w:t xml:space="preserve"> Advisory Board meeting date and venue</w:t>
      </w:r>
    </w:p>
    <w:p>
      <w:pPr>
        <w:pStyle w:val="Normal"/>
        <w:rPr>
          <w:sz w:val="22"/>
          <w:szCs w:val="22"/>
        </w:rPr>
      </w:pPr>
      <w:r>
        <w:rPr>
          <w:sz w:val="22"/>
          <w:szCs w:val="22"/>
        </w:rPr>
      </w:r>
    </w:p>
    <w:p>
      <w:pPr>
        <w:pStyle w:val="Normal"/>
        <w:rPr>
          <w:b/>
          <w:bCs/>
          <w:sz w:val="22"/>
          <w:szCs w:val="22"/>
          <w:u w:val="single"/>
        </w:rPr>
      </w:pPr>
      <w:r>
        <w:rPr>
          <w:b/>
          <w:bCs/>
          <w:sz w:val="22"/>
          <w:szCs w:val="22"/>
          <w:u w:val="single"/>
        </w:rPr>
        <w:t>Summary and Action Items</w:t>
      </w:r>
    </w:p>
    <w:p>
      <w:pPr>
        <w:pStyle w:val="Normal"/>
        <w:rPr>
          <w:b/>
          <w:bCs/>
          <w:sz w:val="22"/>
          <w:szCs w:val="22"/>
          <w:u w:val="single"/>
        </w:rPr>
      </w:pPr>
      <w:r>
        <w:rPr>
          <w:b/>
          <w:bCs/>
          <w:sz w:val="22"/>
          <w:szCs w:val="22"/>
          <w:u w:val="single"/>
        </w:rPr>
      </w:r>
    </w:p>
    <w:p>
      <w:pPr>
        <w:pStyle w:val="Normal"/>
        <w:numPr>
          <w:ilvl w:val="0"/>
          <w:numId w:val="4"/>
        </w:numPr>
        <w:tabs>
          <w:tab w:val="clear" w:pos="720"/>
          <w:tab w:val="left" w:pos="0" w:leader="none"/>
        </w:tabs>
        <w:ind w:hanging="720" w:start="720" w:end="0"/>
        <w:rPr>
          <w:b/>
          <w:bCs/>
          <w:sz w:val="22"/>
          <w:szCs w:val="22"/>
        </w:rPr>
      </w:pPr>
      <w:r>
        <w:rPr>
          <w:b/>
          <w:bCs/>
          <w:sz w:val="22"/>
          <w:szCs w:val="22"/>
        </w:rPr>
        <w:t>Secretariat Interim Note</w:t>
      </w:r>
    </w:p>
    <w:p>
      <w:pPr>
        <w:pStyle w:val="Normal"/>
        <w:numPr>
          <w:ilvl w:val="0"/>
          <w:numId w:val="0"/>
        </w:numPr>
        <w:ind w:hanging="0" w:start="0"/>
        <w:rPr/>
      </w:pPr>
      <w:r>
        <w:rPr>
          <w:sz w:val="22"/>
          <w:szCs w:val="22"/>
        </w:rPr>
        <w:t>The members of the Electricity Advisory Board reviewed the CEC Secretariat Interim Note prior to the May 24</w:t>
      </w:r>
      <w:r>
        <w:rPr>
          <w:sz w:val="22"/>
          <w:szCs w:val="22"/>
          <w:vertAlign w:val="superscript"/>
        </w:rPr>
        <w:t>th</w:t>
      </w:r>
      <w:r>
        <w:rPr>
          <w:sz w:val="22"/>
          <w:szCs w:val="22"/>
        </w:rPr>
        <w:t xml:space="preserve"> conference call. The Interim Note reviews the progress of the initiative and outlines the main issues to be included in the Secretariat Expert Report. Please continue to provide comments and feedback.</w:t>
      </w:r>
    </w:p>
    <w:p>
      <w:pPr>
        <w:pStyle w:val="Normal"/>
        <w:numPr>
          <w:ilvl w:val="0"/>
          <w:numId w:val="0"/>
        </w:numPr>
        <w:ind w:hanging="0" w:start="0"/>
        <w:rPr>
          <w:sz w:val="22"/>
          <w:szCs w:val="22"/>
        </w:rPr>
      </w:pPr>
      <w:r>
        <w:rPr>
          <w:sz w:val="22"/>
          <w:szCs w:val="22"/>
        </w:rPr>
      </w:r>
    </w:p>
    <w:p>
      <w:pPr>
        <w:pStyle w:val="Normal"/>
        <w:numPr>
          <w:ilvl w:val="0"/>
          <w:numId w:val="4"/>
        </w:numPr>
        <w:tabs>
          <w:tab w:val="clear" w:pos="720"/>
          <w:tab w:val="left" w:pos="0" w:leader="none"/>
        </w:tabs>
        <w:ind w:hanging="720" w:start="720" w:end="0"/>
        <w:rPr>
          <w:b/>
          <w:bCs/>
          <w:sz w:val="22"/>
          <w:szCs w:val="22"/>
        </w:rPr>
      </w:pPr>
      <w:r>
        <w:rPr>
          <w:b/>
          <w:bCs/>
          <w:sz w:val="22"/>
          <w:szCs w:val="22"/>
        </w:rPr>
        <w:t>Process and Approach for Developing Statement/Recommendations</w:t>
      </w:r>
    </w:p>
    <w:p>
      <w:pPr>
        <w:pStyle w:val="Normal"/>
        <w:numPr>
          <w:ilvl w:val="0"/>
          <w:numId w:val="0"/>
        </w:numPr>
        <w:ind w:hanging="0" w:start="0"/>
        <w:rPr>
          <w:sz w:val="22"/>
          <w:szCs w:val="22"/>
        </w:rPr>
      </w:pPr>
      <w:r>
        <w:rPr>
          <w:sz w:val="22"/>
          <w:szCs w:val="22"/>
        </w:rPr>
        <w:t>The chair requested the Secretariat to prepare a list of main issues the Advisory Board may wish to comment on. Please see attached, Annex 1, for a draft of these issues, we await your comments and feedback.</w:t>
      </w:r>
    </w:p>
    <w:p>
      <w:pPr>
        <w:pStyle w:val="Normal"/>
        <w:numPr>
          <w:ilvl w:val="0"/>
          <w:numId w:val="0"/>
        </w:numPr>
        <w:ind w:hanging="0" w:start="0"/>
        <w:rPr>
          <w:sz w:val="22"/>
          <w:szCs w:val="22"/>
        </w:rPr>
      </w:pPr>
      <w:r>
        <w:rPr>
          <w:sz w:val="22"/>
          <w:szCs w:val="22"/>
        </w:rPr>
      </w:r>
    </w:p>
    <w:p>
      <w:pPr>
        <w:pStyle w:val="Normal"/>
        <w:numPr>
          <w:ilvl w:val="0"/>
          <w:numId w:val="0"/>
        </w:numPr>
        <w:ind w:hanging="0" w:start="0"/>
        <w:rPr/>
      </w:pPr>
      <w:r>
        <w:rPr>
          <w:sz w:val="22"/>
          <w:szCs w:val="22"/>
        </w:rPr>
        <w:t xml:space="preserve">There was some interest amongst Board members to form subcommittees pertaining to these issues. Please notify Yolanda Clegg </w:t>
      </w:r>
      <w:r>
        <w:rPr>
          <w:rStyle w:val="Hyperlink"/>
        </w:rPr>
        <w:t>yolanda@ccemtl.org</w:t>
      </w:r>
      <w:r>
        <w:rPr>
          <w:sz w:val="22"/>
          <w:szCs w:val="22"/>
        </w:rPr>
        <w:t xml:space="preserve"> if you are interested in participating in a subcommittee on a selected topic. </w:t>
      </w:r>
    </w:p>
    <w:p>
      <w:pPr>
        <w:pStyle w:val="Normal"/>
        <w:numPr>
          <w:ilvl w:val="0"/>
          <w:numId w:val="0"/>
        </w:numPr>
        <w:ind w:hanging="0" w:start="0"/>
        <w:rPr>
          <w:sz w:val="22"/>
          <w:szCs w:val="22"/>
        </w:rPr>
      </w:pPr>
      <w:r>
        <w:rPr>
          <w:sz w:val="22"/>
          <w:szCs w:val="22"/>
        </w:rPr>
      </w:r>
    </w:p>
    <w:p>
      <w:pPr>
        <w:pStyle w:val="Normal"/>
        <w:numPr>
          <w:ilvl w:val="0"/>
          <w:numId w:val="0"/>
        </w:numPr>
        <w:ind w:hanging="0" w:start="0"/>
        <w:rPr>
          <w:sz w:val="22"/>
          <w:szCs w:val="22"/>
        </w:rPr>
      </w:pPr>
      <w:r>
        <w:rPr>
          <w:sz w:val="22"/>
          <w:szCs w:val="22"/>
        </w:rPr>
        <w:t>It was agreed upon that the Electricity Advisory Board members await receipt of the Secretariat Expert Report before determining, which, if any, areas merit the development of a statement or recommendations.</w:t>
      </w:r>
    </w:p>
    <w:p>
      <w:pPr>
        <w:pStyle w:val="Normal"/>
        <w:numPr>
          <w:ilvl w:val="0"/>
          <w:numId w:val="0"/>
        </w:numPr>
        <w:ind w:hanging="0" w:start="0"/>
        <w:rPr>
          <w:b/>
          <w:bCs/>
          <w:sz w:val="22"/>
          <w:szCs w:val="22"/>
        </w:rPr>
      </w:pPr>
      <w:r>
        <w:rPr>
          <w:b/>
          <w:bCs/>
          <w:sz w:val="22"/>
          <w:szCs w:val="22"/>
        </w:rPr>
      </w:r>
    </w:p>
    <w:p>
      <w:pPr>
        <w:pStyle w:val="Normal"/>
        <w:numPr>
          <w:ilvl w:val="0"/>
          <w:numId w:val="4"/>
        </w:numPr>
        <w:tabs>
          <w:tab w:val="clear" w:pos="720"/>
          <w:tab w:val="left" w:pos="0" w:leader="none"/>
        </w:tabs>
        <w:ind w:hanging="720" w:start="720" w:end="0"/>
        <w:rPr>
          <w:b/>
          <w:bCs/>
          <w:sz w:val="22"/>
          <w:szCs w:val="22"/>
        </w:rPr>
      </w:pPr>
      <w:r>
        <w:rPr>
          <w:b/>
          <w:bCs/>
          <w:sz w:val="22"/>
          <w:szCs w:val="22"/>
        </w:rPr>
        <w:t>Symposium</w:t>
      </w:r>
    </w:p>
    <w:p>
      <w:pPr>
        <w:pStyle w:val="Normal"/>
        <w:numPr>
          <w:ilvl w:val="0"/>
          <w:numId w:val="0"/>
        </w:numPr>
        <w:ind w:hanging="0" w:start="0"/>
        <w:rPr>
          <w:sz w:val="22"/>
          <w:szCs w:val="22"/>
        </w:rPr>
      </w:pPr>
      <w:r>
        <w:rPr>
          <w:sz w:val="22"/>
          <w:szCs w:val="22"/>
        </w:rPr>
        <w:t>The Electricity Advisory Board members were requested to set aside Nov. 29-30, 2001, to participate in the CEC Symposium: “Environmental Challenges and Opportunities of the Evolving Continental Electricity Market”, in San Diego, California (in cooperation with the Institute of the Americas).</w:t>
      </w:r>
    </w:p>
    <w:p>
      <w:pPr>
        <w:pStyle w:val="Normal"/>
        <w:numPr>
          <w:ilvl w:val="0"/>
          <w:numId w:val="0"/>
        </w:numPr>
        <w:ind w:hanging="0" w:start="0"/>
        <w:rPr>
          <w:sz w:val="22"/>
          <w:szCs w:val="22"/>
        </w:rPr>
      </w:pPr>
      <w:r>
        <w:rPr>
          <w:sz w:val="22"/>
          <w:szCs w:val="22"/>
        </w:rPr>
      </w:r>
    </w:p>
    <w:p>
      <w:pPr>
        <w:pStyle w:val="Normal"/>
        <w:numPr>
          <w:ilvl w:val="0"/>
          <w:numId w:val="0"/>
        </w:numPr>
        <w:ind w:hanging="0" w:start="0"/>
        <w:rPr>
          <w:b/>
          <w:bCs/>
          <w:sz w:val="22"/>
          <w:szCs w:val="22"/>
        </w:rPr>
      </w:pPr>
      <w:r>
        <w:rPr>
          <w:sz w:val="22"/>
          <w:szCs w:val="22"/>
        </w:rPr>
        <w:t>A final half-day board meeting will follow the closure of the Symposium. The CEC will forward advance drafts of the agenda to the Board members. Additional participant names and general feedback concerning the Symposium are welcome.</w:t>
      </w:r>
    </w:p>
    <w:p>
      <w:pPr>
        <w:pStyle w:val="Normal"/>
        <w:numPr>
          <w:ilvl w:val="0"/>
          <w:numId w:val="0"/>
        </w:numPr>
        <w:ind w:hanging="0" w:start="0"/>
        <w:rPr>
          <w:b/>
          <w:bCs/>
          <w:sz w:val="22"/>
          <w:szCs w:val="22"/>
        </w:rPr>
      </w:pPr>
      <w:r>
        <w:rPr>
          <w:b/>
          <w:bCs/>
          <w:sz w:val="22"/>
          <w:szCs w:val="22"/>
        </w:rPr>
      </w:r>
    </w:p>
    <w:p>
      <w:pPr>
        <w:pStyle w:val="Normal"/>
        <w:numPr>
          <w:ilvl w:val="0"/>
          <w:numId w:val="4"/>
        </w:numPr>
        <w:tabs>
          <w:tab w:val="clear" w:pos="720"/>
          <w:tab w:val="left" w:pos="0" w:leader="none"/>
        </w:tabs>
        <w:ind w:hanging="720" w:start="720" w:end="0"/>
        <w:rPr/>
      </w:pPr>
      <w:r>
        <w:rPr>
          <w:b/>
          <w:bCs/>
          <w:sz w:val="22"/>
          <w:szCs w:val="22"/>
        </w:rPr>
        <w:t>2</w:t>
      </w:r>
      <w:r>
        <w:rPr>
          <w:b/>
          <w:bCs/>
          <w:sz w:val="22"/>
          <w:szCs w:val="22"/>
          <w:vertAlign w:val="superscript"/>
        </w:rPr>
        <w:t>nd</w:t>
      </w:r>
      <w:r>
        <w:rPr>
          <w:b/>
          <w:bCs/>
          <w:sz w:val="22"/>
          <w:szCs w:val="22"/>
        </w:rPr>
        <w:t xml:space="preserve"> Advisory Board Meeting</w:t>
      </w:r>
    </w:p>
    <w:p>
      <w:pPr>
        <w:pStyle w:val="Normal"/>
        <w:numPr>
          <w:ilvl w:val="0"/>
          <w:numId w:val="0"/>
        </w:numPr>
        <w:ind w:hanging="0" w:start="0"/>
        <w:rPr/>
      </w:pPr>
      <w:r>
        <w:rPr>
          <w:sz w:val="22"/>
          <w:szCs w:val="22"/>
        </w:rPr>
        <w:t>It was agreed upon that a second in-person meeting would be useful prior to the Symposium to discuss the Expert Report, and to develop Advisory Board advice. The Board members will convene in late summer/early fall for a 2</w:t>
      </w:r>
      <w:r>
        <w:rPr>
          <w:sz w:val="22"/>
          <w:szCs w:val="22"/>
          <w:vertAlign w:val="superscript"/>
        </w:rPr>
        <w:t>nd</w:t>
      </w:r>
      <w:r>
        <w:rPr>
          <w:sz w:val="22"/>
          <w:szCs w:val="22"/>
        </w:rPr>
        <w:t xml:space="preserve"> meeting, after having received an advanced draft of the Secretariat Expert Report.</w:t>
      </w:r>
    </w:p>
    <w:p>
      <w:pPr>
        <w:pStyle w:val="Normal"/>
        <w:numPr>
          <w:ilvl w:val="0"/>
          <w:numId w:val="0"/>
        </w:numPr>
        <w:ind w:hanging="0" w:start="0"/>
        <w:rPr>
          <w:sz w:val="22"/>
          <w:szCs w:val="22"/>
        </w:rPr>
      </w:pPr>
      <w:r>
        <w:rPr>
          <w:sz w:val="22"/>
          <w:szCs w:val="22"/>
        </w:rPr>
      </w:r>
    </w:p>
    <w:p>
      <w:pPr>
        <w:pStyle w:val="Normal"/>
        <w:numPr>
          <w:ilvl w:val="0"/>
          <w:numId w:val="4"/>
        </w:numPr>
        <w:tabs>
          <w:tab w:val="clear" w:pos="720"/>
          <w:tab w:val="left" w:pos="0" w:leader="none"/>
        </w:tabs>
        <w:ind w:hanging="720" w:start="720" w:end="0"/>
        <w:rPr>
          <w:b/>
          <w:bCs/>
          <w:sz w:val="22"/>
          <w:szCs w:val="22"/>
        </w:rPr>
      </w:pPr>
      <w:r>
        <w:rPr>
          <w:b/>
          <w:bCs/>
          <w:sz w:val="22"/>
          <w:szCs w:val="22"/>
        </w:rPr>
        <w:t>Advisory Board Members</w:t>
      </w:r>
    </w:p>
    <w:p>
      <w:pPr>
        <w:pStyle w:val="Normal"/>
        <w:rPr/>
      </w:pPr>
      <w:r>
        <w:rPr>
          <w:sz w:val="22"/>
          <w:szCs w:val="22"/>
        </w:rPr>
        <w:t>Since the first Advisory Board meeting (Jan 16</w:t>
      </w:r>
      <w:r>
        <w:rPr>
          <w:sz w:val="22"/>
          <w:szCs w:val="22"/>
          <w:vertAlign w:val="superscript"/>
        </w:rPr>
        <w:t>th</w:t>
      </w:r>
      <w:r>
        <w:rPr>
          <w:sz w:val="22"/>
          <w:szCs w:val="22"/>
        </w:rPr>
        <w:t>)</w:t>
      </w:r>
      <w:r>
        <w:rPr>
          <w:sz w:val="22"/>
          <w:szCs w:val="22"/>
          <w:vertAlign w:val="superscript"/>
        </w:rPr>
        <w:t xml:space="preserve">, </w:t>
      </w:r>
      <w:r>
        <w:rPr>
          <w:sz w:val="22"/>
          <w:szCs w:val="22"/>
        </w:rPr>
        <w:t>two new members, Richard Drouin (Canada) and Peter Berle (United States) have been appointed. The appointment of 2 or 3 Board members from Mexico are still pending.</w:t>
      </w:r>
    </w:p>
    <w:p>
      <w:pPr>
        <w:pStyle w:val="Normal"/>
        <w:rPr>
          <w:b/>
          <w:bCs/>
          <w:sz w:val="22"/>
          <w:szCs w:val="22"/>
        </w:rPr>
      </w:pPr>
      <w:r>
        <w:rPr>
          <w:b/>
          <w:bCs/>
          <w:sz w:val="22"/>
          <w:szCs w:val="22"/>
        </w:rPr>
      </w:r>
    </w:p>
    <w:p>
      <w:pPr>
        <w:pStyle w:val="Normal"/>
        <w:rPr>
          <w:b/>
          <w:bCs/>
          <w:sz w:val="22"/>
          <w:szCs w:val="22"/>
        </w:rPr>
      </w:pPr>
      <w:r>
        <w:rPr>
          <w:b/>
          <w:bCs/>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u w:val="single"/>
        </w:rPr>
      </w:pPr>
      <w:r>
        <w:rPr>
          <w:sz w:val="22"/>
          <w:szCs w:val="22"/>
          <w:u w:val="single"/>
        </w:rPr>
      </w:r>
    </w:p>
    <w:p>
      <w:pPr>
        <w:pStyle w:val="Normal"/>
        <w:rPr>
          <w:u w:val="single"/>
        </w:rPr>
      </w:pPr>
      <w:r>
        <w:rPr>
          <w:u w:val="single"/>
        </w:rPr>
      </w:r>
    </w:p>
    <w:p>
      <w:pPr>
        <w:pStyle w:val="Normal"/>
        <w:ind w:start="1800" w:end="0"/>
        <w:rPr/>
      </w:pPr>
      <w:r>
        <w:rPr/>
        <w:t xml:space="preserve"> </w:t>
      </w:r>
    </w:p>
    <w:p>
      <w:pPr>
        <w:pStyle w:val="Normal"/>
        <w:ind w:start="1440" w:end="0"/>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continuous"/>
      <w:pgSz w:w="12240" w:h="15840"/>
      <w:pgMar w:left="1440" w:right="1440" w:gutter="0" w:header="0" w:top="1440" w:footer="0" w:bottom="1440"/>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Liberation Sans">
    <w:altName w:val="Arial"/>
    <w:charset w:val="01" w:characterSet="utf-8"/>
    <w:family w:val="swiss"/>
    <w:pitch w:val="variable"/>
  </w:font>
  <w:font w:name="Book Antiqua">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upperRoman"/>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CA" w:eastAsia="zh-CN" w:bidi="hi-IN"/>
    </w:rPr>
  </w:style>
  <w:style w:type="paragraph" w:styleId="Heading1">
    <w:name w:val="heading 1"/>
    <w:basedOn w:val="Normal"/>
    <w:next w:val="Normal"/>
    <w:qFormat/>
    <w:pPr>
      <w:keepNext w:val="true"/>
      <w:numPr>
        <w:ilvl w:val="0"/>
        <w:numId w:val="1"/>
      </w:numPr>
      <w:pBdr>
        <w:top w:val="single" w:sz="6" w:space="1" w:color="000000"/>
        <w:left w:val="single" w:sz="6" w:space="4" w:color="000000"/>
        <w:bottom w:val="single" w:sz="6" w:space="10" w:color="000000"/>
        <w:right w:val="single" w:sz="6" w:space="4" w:color="000000"/>
      </w:pBdr>
      <w:shd w:fill="B2B2B2" w:val="clear"/>
      <w:jc w:val="center"/>
      <w:outlineLvl w:val="0"/>
    </w:pPr>
    <w:rPr>
      <w:rFonts w:ascii="Arial" w:hAnsi="Arial" w:eastAsia="Arial" w:cs="Arial"/>
      <w:b/>
      <w:bCs/>
      <w:sz w:val="28"/>
      <w:szCs w:val="28"/>
    </w:rPr>
  </w:style>
  <w:style w:type="paragraph" w:styleId="Heading2">
    <w:name w:val="heading 2"/>
    <w:basedOn w:val="Normal"/>
    <w:next w:val="Normal"/>
    <w:qFormat/>
    <w:pPr>
      <w:keepNext w:val="true"/>
      <w:numPr>
        <w:ilvl w:val="1"/>
        <w:numId w:val="1"/>
      </w:numPr>
      <w:outlineLvl w:val="1"/>
    </w:pPr>
    <w:rPr>
      <w:b/>
      <w:bCs/>
      <w:sz w:val="24"/>
      <w:szCs w:val="24"/>
    </w:rPr>
  </w:style>
  <w:style w:type="paragraph" w:styleId="Heading3">
    <w:name w:val="heading 3"/>
    <w:basedOn w:val="Normal"/>
    <w:next w:val="Normal"/>
    <w:qFormat/>
    <w:pPr>
      <w:keepNext w:val="true"/>
      <w:numPr>
        <w:ilvl w:val="2"/>
        <w:numId w:val="1"/>
      </w:numPr>
      <w:ind w:hanging="0" w:start="420" w:end="0"/>
      <w:outlineLvl w:val="2"/>
    </w:pPr>
    <w:rPr>
      <w:sz w:val="24"/>
      <w:szCs w:val="24"/>
    </w:rPr>
  </w:style>
  <w:style w:type="paragraph" w:styleId="Heading4">
    <w:name w:val="heading 4"/>
    <w:basedOn w:val="Normal"/>
    <w:next w:val="Normal"/>
    <w:qFormat/>
    <w:pPr>
      <w:keepNext w:val="true"/>
      <w:numPr>
        <w:ilvl w:val="3"/>
        <w:numId w:val="1"/>
      </w:numPr>
      <w:tabs>
        <w:tab w:val="clear" w:pos="720"/>
        <w:tab w:val="left" w:pos="360" w:leader="none"/>
      </w:tabs>
      <w:ind w:firstLine="5040" w:start="0" w:end="0"/>
      <w:outlineLvl w:val="3"/>
    </w:pPr>
    <w:rPr>
      <w:b/>
      <w:bCs/>
    </w:rPr>
  </w:style>
  <w:style w:type="paragraph" w:styleId="Heading5">
    <w:name w:val="heading 5"/>
    <w:basedOn w:val="Normal"/>
    <w:next w:val="Normal"/>
    <w:qFormat/>
    <w:pPr>
      <w:keepNext w:val="true"/>
      <w:numPr>
        <w:ilvl w:val="4"/>
        <w:numId w:val="1"/>
      </w:numPr>
      <w:tabs>
        <w:tab w:val="clear" w:pos="720"/>
        <w:tab w:val="center" w:pos="4320" w:leader="none"/>
      </w:tabs>
      <w:jc w:val="both"/>
      <w:outlineLvl w:val="4"/>
    </w:pPr>
    <w:rPr>
      <w:sz w:val="36"/>
      <w:szCs w:val="36"/>
    </w:rPr>
  </w:style>
  <w:style w:type="paragraph" w:styleId="Heading6">
    <w:name w:val="heading 6"/>
    <w:basedOn w:val="Normal"/>
    <w:next w:val="Normal"/>
    <w:qFormat/>
    <w:pPr>
      <w:keepNext w:val="true"/>
      <w:numPr>
        <w:ilvl w:val="5"/>
        <w:numId w:val="1"/>
      </w:numPr>
      <w:tabs>
        <w:tab w:val="left" w:pos="720" w:leader="none"/>
      </w:tabs>
      <w:jc w:val="both"/>
      <w:outlineLvl w:val="5"/>
    </w:pPr>
    <w:rPr>
      <w:b/>
      <w:bCs/>
      <w:sz w:val="36"/>
      <w:szCs w:val="36"/>
    </w:rPr>
  </w:style>
  <w:style w:type="paragraph" w:styleId="Heading7">
    <w:name w:val="heading 7"/>
    <w:basedOn w:val="Normal"/>
    <w:next w:val="Normal"/>
    <w:qFormat/>
    <w:pPr>
      <w:keepNext w:val="true"/>
      <w:numPr>
        <w:ilvl w:val="6"/>
        <w:numId w:val="1"/>
      </w:numPr>
      <w:jc w:val="center"/>
      <w:outlineLvl w:val="6"/>
    </w:pPr>
    <w:rPr>
      <w:b/>
      <w:bCs/>
      <w:sz w:val="32"/>
      <w:szCs w:val="32"/>
      <w:lang w:val="en-CA"/>
    </w:rPr>
  </w:style>
  <w:style w:type="paragraph" w:styleId="Heading8">
    <w:name w:val="heading 8"/>
    <w:basedOn w:val="Normal"/>
    <w:next w:val="Normal"/>
    <w:qFormat/>
    <w:pPr>
      <w:keepNext w:val="true"/>
      <w:numPr>
        <w:ilvl w:val="7"/>
        <w:numId w:val="1"/>
      </w:numPr>
      <w:spacing w:before="120" w:after="0"/>
      <w:jc w:val="center"/>
      <w:outlineLvl w:val="7"/>
    </w:pPr>
    <w:rPr>
      <w:b/>
      <w:bCs/>
      <w:sz w:val="48"/>
      <w:szCs w:val="48"/>
      <w:lang w:val="en-CA"/>
    </w:rPr>
  </w:style>
  <w:style w:type="paragraph" w:styleId="Heading9">
    <w:name w:val="heading 9"/>
    <w:basedOn w:val="Normal"/>
    <w:next w:val="Normal"/>
    <w:qFormat/>
    <w:pPr>
      <w:keepNext w:val="true"/>
      <w:numPr>
        <w:ilvl w:val="8"/>
        <w:numId w:val="1"/>
      </w:numPr>
      <w:outlineLvl w:val="8"/>
    </w:pPr>
    <w:rPr>
      <w:b/>
      <w:bCs/>
      <w:sz w:val="96"/>
      <w:szCs w:val="96"/>
    </w:rPr>
  </w:style>
  <w:style w:type="character" w:styleId="DefaultParagraphFont">
    <w:name w:val="Default Paragraph Font"/>
    <w:qFormat/>
    <w:rPr/>
  </w:style>
  <w:style w:type="character" w:styleId="AnnotationReference">
    <w:name w:val="Annotation Reference"/>
    <w:basedOn w:val="DefaultParagraphFont"/>
    <w:qFormat/>
    <w:rPr>
      <w:sz w:val="16"/>
      <w:szCs w:val="16"/>
    </w:rPr>
  </w:style>
  <w:style w:type="character" w:styleId="PageNumber">
    <w:name w:val="page number"/>
    <w:basedOn w:val="DefaultParagraphFont"/>
    <w:rPr/>
  </w:style>
  <w:style w:type="character" w:styleId="Hyperlink">
    <w:name w:val="Hyperlink"/>
    <w:basedOn w:val="DefaultParagraphFont"/>
    <w:qForma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3">
    <w:name w:val="toc 3"/>
    <w:basedOn w:val="Normal"/>
    <w:next w:val="Normal"/>
    <w:pPr>
      <w:ind w:hanging="0" w:start="400" w:end="0"/>
    </w:pPr>
    <w:rPr>
      <w:i/>
      <w:iCs/>
    </w:rPr>
  </w:style>
  <w:style w:type="paragraph" w:styleId="AreaHead">
    <w:name w:val="AreaHead"/>
    <w:basedOn w:val="Normal"/>
    <w:next w:val="Normal"/>
    <w:qFormat/>
    <w:pPr>
      <w:pBdr>
        <w:top w:val="single" w:sz="6" w:space="18" w:color="000000"/>
        <w:left w:val="single" w:sz="6" w:space="4" w:color="000000"/>
        <w:bottom w:val="single" w:sz="6" w:space="18" w:color="000000"/>
        <w:right w:val="single" w:sz="6" w:space="4" w:color="000000"/>
      </w:pBdr>
      <w:shd w:fill="BFBFBF" w:val="clear"/>
      <w:spacing w:before="0" w:after="360"/>
      <w:jc w:val="center"/>
    </w:pPr>
    <w:rPr>
      <w:b/>
      <w:bCs/>
      <w:sz w:val="36"/>
      <w:szCs w:val="36"/>
    </w:rPr>
  </w:style>
  <w:style w:type="paragraph" w:styleId="BodyText2">
    <w:name w:val="Body Text 2"/>
    <w:basedOn w:val="Normal"/>
    <w:qFormat/>
    <w:pPr/>
    <w:rPr>
      <w:b/>
      <w:bCs/>
      <w:sz w:val="24"/>
      <w:szCs w:val="24"/>
    </w:rPr>
  </w:style>
  <w:style w:type="paragraph" w:styleId="BodyText3">
    <w:name w:val="Body Text 3"/>
    <w:basedOn w:val="Normal"/>
    <w:qFormat/>
    <w:pPr>
      <w:pBdr>
        <w:top w:val="single" w:sz="6" w:space="1" w:color="000000"/>
        <w:left w:val="single" w:sz="6" w:space="4" w:color="000000"/>
        <w:bottom w:val="single" w:sz="6" w:space="1" w:color="000000"/>
        <w:right w:val="single" w:sz="6" w:space="4" w:color="000000"/>
      </w:pBdr>
      <w:shd w:fill="B2B2B2" w:val="clear"/>
      <w:jc w:val="center"/>
    </w:pPr>
    <w:rPr>
      <w:b/>
      <w:bCs/>
      <w:sz w:val="28"/>
      <w:szCs w:val="28"/>
    </w:rPr>
  </w:style>
  <w:style w:type="paragraph" w:styleId="WW-BodyText2">
    <w:name w:val="WW-Body Text 2"/>
    <w:basedOn w:val="Normal"/>
    <w:qFormat/>
    <w:pPr>
      <w:ind w:hanging="0" w:start="420" w:end="0"/>
    </w:pPr>
    <w:rPr>
      <w:sz w:val="24"/>
      <w:szCs w:val="24"/>
    </w:rPr>
  </w:style>
  <w:style w:type="paragraph" w:styleId="BodyTextIndent3">
    <w:name w:val="Body Text Indent 3"/>
    <w:basedOn w:val="Normal"/>
    <w:qFormat/>
    <w:pPr>
      <w:tabs>
        <w:tab w:val="clear" w:pos="720"/>
        <w:tab w:val="left" w:pos="284" w:leader="none"/>
      </w:tabs>
      <w:ind w:hanging="0" w:start="284" w:end="0"/>
    </w:pPr>
    <w:rPr/>
  </w:style>
  <w:style w:type="paragraph" w:styleId="BulletList">
    <w:name w:val="Bullet List"/>
    <w:basedOn w:val="BodyText"/>
    <w:qFormat/>
    <w:pPr>
      <w:numPr>
        <w:ilvl w:val="0"/>
        <w:numId w:val="2"/>
      </w:numPr>
      <w:tabs>
        <w:tab w:val="clear" w:pos="720"/>
        <w:tab w:val="left" w:pos="360" w:leader="none"/>
      </w:tabs>
      <w:ind w:hanging="360" w:start="360" w:end="0"/>
    </w:pPr>
    <w:rPr>
      <w:sz w:val="20"/>
      <w:szCs w:val="20"/>
      <w:lang w:val="en-CA"/>
    </w:rPr>
  </w:style>
  <w:style w:type="paragraph" w:styleId="AnnotationText">
    <w:name w:val="Annotation Text"/>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jc w:val="both"/>
    </w:pPr>
    <w:rPr/>
  </w:style>
  <w:style w:type="paragraph" w:styleId="Header">
    <w:name w:val="header"/>
    <w:basedOn w:val="Normal"/>
    <w:pPr>
      <w:tabs>
        <w:tab w:val="clear" w:pos="720"/>
        <w:tab w:val="center" w:pos="4320" w:leader="none"/>
        <w:tab w:val="right" w:pos="8640" w:leader="none"/>
      </w:tabs>
      <w:jc w:val="both"/>
    </w:pPr>
    <w:rPr/>
  </w:style>
  <w:style w:type="paragraph" w:styleId="ProgramHead">
    <w:name w:val="ProgramHead"/>
    <w:next w:val="Normal"/>
    <w:qFormat/>
    <w:pPr>
      <w:keepNext w:val="true"/>
      <w:pageBreakBefore/>
      <w:widowControl/>
      <w:bidi w:val="0"/>
      <w:spacing w:before="0" w:after="360"/>
      <w:ind w:hanging="360" w:start="360" w:end="0"/>
    </w:pPr>
    <w:rPr>
      <w:rFonts w:ascii="Book Antiqua" w:hAnsi="Book Antiqua" w:eastAsia="Book Antiqua" w:cs="Book Antiqua"/>
      <w:b/>
      <w:bCs/>
      <w:color w:val="auto"/>
      <w:sz w:val="28"/>
      <w:szCs w:val="28"/>
      <w:lang w:val="en-US" w:eastAsia="zh-CN" w:bidi="hi-IN"/>
    </w:rPr>
  </w:style>
  <w:style w:type="paragraph" w:styleId="ProjectHead">
    <w:name w:val="ProjectHead"/>
    <w:next w:val="Normal"/>
    <w:qFormat/>
    <w:pPr>
      <w:keepNext w:val="true"/>
      <w:widowControl/>
      <w:pBdr>
        <w:top w:val="single" w:sz="6" w:space="4" w:color="000000"/>
        <w:left w:val="single" w:sz="6" w:space="4" w:color="000000"/>
        <w:bottom w:val="single" w:sz="6" w:space="4" w:color="000000"/>
        <w:right w:val="single" w:sz="6" w:space="4" w:color="000000"/>
      </w:pBdr>
      <w:bidi w:val="0"/>
      <w:spacing w:before="240" w:after="240"/>
    </w:pPr>
    <w:rPr>
      <w:rFonts w:ascii="Times New Roman" w:hAnsi="Times New Roman" w:eastAsia="Times New Roman" w:cs="Times New Roman"/>
      <w:b/>
      <w:bCs/>
      <w:color w:val="auto"/>
      <w:sz w:val="24"/>
      <w:szCs w:val="24"/>
      <w:lang w:val="en-CA" w:eastAsia="zh-CN" w:bidi="hi-IN"/>
    </w:rPr>
  </w:style>
  <w:style w:type="paragraph" w:styleId="Style0">
    <w:name w:val="Style0"/>
    <w:qFormat/>
    <w:pPr>
      <w:widowControl/>
      <w:bidi w:val="0"/>
    </w:pPr>
    <w:rPr>
      <w:rFonts w:ascii="Arial" w:hAnsi="Arial" w:eastAsia="Arial" w:cs="Arial"/>
      <w:color w:val="auto"/>
      <w:sz w:val="24"/>
      <w:szCs w:val="24"/>
      <w:lang w:val="en-US" w:eastAsia="zh-CN" w:bidi="hi-IN"/>
    </w:rPr>
  </w:style>
  <w:style w:type="paragraph" w:styleId="TOC1">
    <w:name w:val="toc 1"/>
    <w:basedOn w:val="Normal"/>
    <w:next w:val="Normal"/>
    <w:pPr>
      <w:spacing w:before="240" w:after="60"/>
    </w:pPr>
    <w:rPr>
      <w:b/>
      <w:bCs/>
      <w:i/>
      <w:iCs/>
      <w:lang w:val="en-CA"/>
    </w:rPr>
  </w:style>
  <w:style w:type="paragraph" w:styleId="TOC2">
    <w:name w:val="toc 2"/>
    <w:basedOn w:val="Normal"/>
    <w:next w:val="Normal"/>
    <w:pPr>
      <w:ind w:firstLine="432" w:start="0" w:end="0"/>
    </w:pPr>
    <w:rPr>
      <w:i/>
      <w:iCs/>
      <w:lang w:val="en-CA"/>
    </w:rPr>
  </w:style>
  <w:style w:type="paragraph" w:styleId="TOC4">
    <w:name w:val="toc 4"/>
    <w:basedOn w:val="Normal"/>
    <w:next w:val="Normal"/>
    <w:pPr>
      <w:ind w:hanging="0" w:start="600" w:end="0"/>
    </w:pPr>
    <w:rPr>
      <w:sz w:val="18"/>
      <w:szCs w:val="18"/>
    </w:rPr>
  </w:style>
  <w:style w:type="paragraph" w:styleId="TOC5">
    <w:name w:val="toc 5"/>
    <w:basedOn w:val="Normal"/>
    <w:next w:val="Normal"/>
    <w:pPr>
      <w:ind w:hanging="0" w:start="800" w:end="0"/>
    </w:pPr>
    <w:rPr>
      <w:sz w:val="18"/>
      <w:szCs w:val="18"/>
    </w:rPr>
  </w:style>
  <w:style w:type="paragraph" w:styleId="TOC6">
    <w:name w:val="toc 6"/>
    <w:basedOn w:val="Normal"/>
    <w:next w:val="Normal"/>
    <w:pPr>
      <w:ind w:hanging="0" w:start="1000" w:end="0"/>
    </w:pPr>
    <w:rPr>
      <w:sz w:val="18"/>
      <w:szCs w:val="18"/>
    </w:rPr>
  </w:style>
  <w:style w:type="paragraph" w:styleId="TOC7">
    <w:name w:val="toc 7"/>
    <w:basedOn w:val="Normal"/>
    <w:next w:val="Normal"/>
    <w:pPr>
      <w:ind w:hanging="0" w:start="1200" w:end="0"/>
    </w:pPr>
    <w:rPr>
      <w:sz w:val="18"/>
      <w:szCs w:val="18"/>
    </w:rPr>
  </w:style>
  <w:style w:type="paragraph" w:styleId="TOC8">
    <w:name w:val="toc 8"/>
    <w:basedOn w:val="Normal"/>
    <w:next w:val="Normal"/>
    <w:pPr>
      <w:ind w:hanging="0" w:start="1400" w:end="0"/>
    </w:pPr>
    <w:rPr>
      <w:sz w:val="18"/>
      <w:szCs w:val="18"/>
    </w:rPr>
  </w:style>
  <w:style w:type="paragraph" w:styleId="TOC9">
    <w:name w:val="toc 9"/>
    <w:basedOn w:val="Normal"/>
    <w:next w:val="Normal"/>
    <w:pPr>
      <w:ind w:hanging="0" w:start="1600" w:end="0"/>
    </w:pPr>
    <w:rPr>
      <w:sz w:val="18"/>
      <w:szCs w:val="18"/>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2001-06-11T10:50:00Z</dcterms:created>
  <dc:creator>Martine Veilleux</dc:creator>
  <dc:description/>
  <dc:language>en-CA</dc:language>
  <cp:lastModifiedBy>Martine Veilleux</cp:lastModifiedBy>
  <cp:lastPrinted>2001-06-29T13:53:00Z</cp:lastPrinted>
  <dcterms:modified xsi:type="dcterms:W3CDTF">2001-06-29T15:27:00Z</dcterms:modified>
  <cp:revision>20</cp:revision>
  <dc:subject/>
  <dc:title>Synopsis and Outcomes of the May 24th Electricity Advisory Conference Call</dc:title>
</cp:coreProperties>
</file>