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Switzerland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1"/>
        </w:numPr>
        <w:ind w:hanging="720" w:start="2160" w:end="0"/>
        <w:jc w:val="both"/>
        <w:outlineLvl w:val="1"/>
        <w:rPr>
          <w:b/>
          <w:u w:val="single"/>
        </w:rPr>
      </w:pP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DIRECTLY OR INDIRECTLY,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 and the parties' agree to replace any invalid provision by a valid provision which shall best reflect the parties original intention and shall to the extent possible achieve the same results. The same shall be the case if this Agreement is incomplete.</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WW8Num3z0">
    <w:name w:val="WW8Num3z0"/>
    <w:qFormat/>
    <w:rPr>
      <w:u w:val="none"/>
    </w:rPr>
  </w:style>
  <w:style w:type="character" w:styleId="WW8Num4z0">
    <w:name w:val="WW8Num4z0"/>
    <w:qFormat/>
    <w:rPr>
      <w:u w:val="non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1999-08-31T10:40:00Z</dcterms:created>
  <dc:creator>NEdmonds</dc:creator>
  <dc:description/>
  <dc:language>en-CA</dc:language>
  <cp:lastModifiedBy>NEdmonds</cp:lastModifiedBy>
  <dcterms:modified xsi:type="dcterms:W3CDTF">1999-08-31T11:53:00Z</dcterms:modified>
  <cp:revision>3</cp:revision>
  <dc:subject/>
  <dc:title>Switzerland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