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00" w:after="100"/>
        <w:ind w:hanging="0" w:start="0"/>
        <w:rPr/>
      </w:pPr>
      <w:r>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SWISS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on or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 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Control occurs.</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in respect of the other party has occurred and is continuing.</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2"/>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2"/>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2"/>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6"/>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6"/>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p>
    <w:p>
      <w:pPr>
        <w:pStyle w:val="Normal"/>
        <w:numPr>
          <w:ilvl w:val="0"/>
          <w:numId w:val="0"/>
        </w:numPr>
        <w:ind w:hanging="0" w:start="2160" w:end="0"/>
        <w:jc w:val="both"/>
        <w:outlineLvl w:val="2"/>
        <w:rPr>
          <w:rFonts w:ascii="Arial" w:hAnsi="Arial" w:cs="Arial"/>
          <w:sz w:val="20"/>
        </w:rPr>
      </w:pPr>
      <w:r>
        <w:rPr>
          <w:rFonts w:cs="Arial" w:ascii="Arial" w:hAnsi="Arial"/>
          <w:sz w:val="20"/>
        </w:rPr>
        <w:t>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(E),(F) or (G)).</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the Reference Entity is adjudicated or found to be insolvent or unable to pay its debts by any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(ii)</w:t>
        <w:tab/>
        <w:t>a resolution is passed for the winding up of the Reference Entity (other than for the purposes of an amalgamation, merger, consolidation, reorganisation, reconstruction or similar arrangement) by the shareholders of the Reference Entity;</w:t>
      </w:r>
    </w:p>
    <w:p>
      <w:pPr>
        <w:pStyle w:val="Normal"/>
        <w:numPr>
          <w:ilvl w:val="0"/>
          <w:numId w:val="0"/>
        </w:numPr>
        <w:ind w:start="720" w:end="0"/>
        <w:jc w:val="both"/>
        <w:outlineLvl w:val="0"/>
        <w:rPr>
          <w:rFonts w:ascii="Arial" w:hAnsi="Arial" w:cs="Arial"/>
          <w:sz w:val="20"/>
        </w:rPr>
      </w:pPr>
      <w:r>
        <w:rPr>
          <w:rFonts w:cs="Arial" w:ascii="Arial" w:hAnsi="Arial"/>
          <w:sz w:val="20"/>
        </w:rPr>
        <w:t>(iii)</w:t>
        <w:tab/>
        <w:t>an order is made to extinct the Reference Entity in the commercial registry by any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(iv)</w:t>
        <w:tab/>
        <w:t>an order is made for the winding up of the Reference Entity, other than for the purposes of an amalgamation, merger, consolidation, reorganisation, reconstruction or a similar arrangement by the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(v)</w:t>
        <w:tab/>
        <w:t>an ordinary bankruptcy proceeding or a bankruptcy proceeding to enforce a bill of exchange is opened by any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(vi)</w:t>
        <w:tab/>
        <w:t>an agreement with creditors, a composition agreement or a moratorium is approved by any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(vii)</w:t>
        <w:tab/>
        <w:t>any event with consequences similar or analogous to any of those referred to in (i) to (vi) (inclusive) above occurs in any jurisdiction outside Switzerland.</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in respect of the first payment, the first Quarter Day falling after the Effective Date for that Transaction;</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the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 </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Neue Zürcher Zeitung, Le Temps or Finanz und Wirtschaft, or (b) the Schweizerisches Handelsamtsblatt / Feuille officielles suisse du commerce or any other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BodyTextIndent"/>
        <w:rPr/>
      </w:pPr>
      <w:r>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New York.</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7"/>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4(d), the date of occurrence of the Event of Default shall automatically be designated as an Early Termination Date" shall be inserted at the end of the first sentence of the first paragraph of Section 5; and</w:t>
      </w:r>
    </w:p>
    <w:p>
      <w:pPr>
        <w:pStyle w:val="Normal"/>
        <w:numPr>
          <w:ilvl w:val="4"/>
          <w:numId w:val="7"/>
        </w:numPr>
        <w:tabs>
          <w:tab w:val="clear" w:pos="720"/>
          <w:tab w:val="left" w:pos="3600" w:leader="none"/>
        </w:tabs>
        <w:spacing w:before="100" w:after="100"/>
        <w:ind w:hanging="360" w:start="3600" w:end="0"/>
        <w:outlineLvl w:val="4"/>
        <w:rPr>
          <w:rFonts w:ascii="Arial" w:hAnsi="Arial" w:cs="Arial"/>
          <w:sz w:val="20"/>
        </w:rPr>
      </w:pPr>
      <w:r>
        <w:rPr>
          <w:rFonts w:cs="Arial" w:ascii="Arial" w:hAnsi="Arial"/>
          <w:sz w:val="20"/>
        </w:rPr>
        <w:t>the third sentence of Section 6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startOverride w:val="1"/>
    </w:lvlOverride>
  </w:num>
  <w:num w:numId="9">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paragraph" w:styleId="Heading1">
    <w:name w:val="heading 1"/>
    <w:basedOn w:val="Normal"/>
    <w:next w:val="Normal"/>
    <w:qFormat/>
    <w:pPr>
      <w:keepNext w:val="true"/>
      <w:numPr>
        <w:ilvl w:val="0"/>
        <w:numId w:val="1"/>
      </w:numPr>
      <w:jc w:val="end"/>
      <w:outlineLvl w:val="0"/>
    </w:pPr>
    <w:rPr>
      <w:rFonts w:ascii="Arial" w:hAnsi="Arial" w:cs="Arial"/>
      <w:b/>
      <w:sz w:val="20"/>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ind w:hanging="0" w:start="720" w:end="0"/>
      <w:jc w:val="both"/>
      <w:outlineLvl w:val="0"/>
    </w:pPr>
    <w:rPr>
      <w:rFonts w:ascii="Arial" w:hAnsi="Arial" w:cs="Arial"/>
      <w:b/>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2000-02-17T07:33:00Z</dcterms:created>
  <dc:creator>NEdmonds</dc:creator>
  <dc:description/>
  <dc:language>en-CA</dc:language>
  <cp:lastModifiedBy>ECooper</cp:lastModifiedBy>
  <dcterms:modified xsi:type="dcterms:W3CDTF">2000-02-17T17:12:00Z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BCM</vt:lpwstr>
  </property>
  <property fmtid="{D5CDD505-2E9C-101B-9397-08002B2CF9AE}" pid="4" name="udp_BorderStyle">
    <vt:lpwstr>None</vt:lpwstr>
  </property>
  <property fmtid="{D5CDD505-2E9C-101B-9397-08002B2CF9AE}" pid="5" name="udp_CMNumber">
    <vt:lpwstr>000000/00000</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Bin Numbers</vt:lpwstr>
  </property>
  <property fmtid="{D5CDD505-2E9C-101B-9397-08002B2CF9AE}" pid="9" name="udp_Department">
    <vt:lpwstr> </vt:lpwstr>
  </property>
  <property fmtid="{D5CDD505-2E9C-101B-9397-08002B2CF9AE}" pid="10" name="udp_DocID">
    <vt:lpwstr>CACopy1</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Bin Numbers</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Murphy, Benjamin</vt:lpwstr>
  </property>
  <property fmtid="{D5CDD505-2E9C-101B-9397-08002B2CF9AE}" pid="18" name="udp_Version">
    <vt:lpwstr>0</vt:lpwstr>
  </property>
</Properties>
</file>