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0"/>
              </w:rPr>
            </w:pPr>
            <w:r>
              <w:rPr>
                <w:b/>
                <w:sz w:val="20"/>
              </w:rPr>
              <w:t>Enron North America Corp.</w:t>
            </w:r>
          </w:p>
          <w:p>
            <w:pPr>
              <w:pStyle w:val="Normal"/>
              <w:tabs>
                <w:tab w:val="clear" w:pos="720"/>
                <w:tab w:val="left" w:pos="2412" w:leader="none"/>
              </w:tabs>
              <w:ind w:start="1962" w:end="0"/>
              <w:rPr>
                <w:i/>
                <w:i/>
                <w:sz w:val="20"/>
              </w:rPr>
            </w:pPr>
            <w:r>
              <w:rPr>
                <w:i/>
                <w:sz w:val="20"/>
              </w:rPr>
              <w:t>P.O. Box 4428</w:t>
            </w:r>
          </w:p>
          <w:p>
            <w:pPr>
              <w:pStyle w:val="Normal"/>
              <w:tabs>
                <w:tab w:val="clear" w:pos="720"/>
                <w:tab w:val="left" w:pos="2412" w:leader="none"/>
              </w:tabs>
              <w:ind w:start="1962" w:end="0"/>
              <w:rPr>
                <w:i/>
                <w:i/>
                <w:sz w:val="20"/>
              </w:rPr>
            </w:pPr>
            <w:r>
              <w:rPr>
                <w:i/>
                <w:sz w:val="20"/>
              </w:rPr>
              <w:t>Houston, TX  77210-4428</w:t>
            </w:r>
          </w:p>
          <w:p>
            <w:pPr>
              <w:pStyle w:val="Normal"/>
              <w:tabs>
                <w:tab w:val="clear" w:pos="720"/>
                <w:tab w:val="left" w:pos="2412" w:leader="none"/>
              </w:tabs>
              <w:ind w:start="1962" w:end="0"/>
              <w:rPr>
                <w:i/>
                <w:i/>
                <w:sz w:val="20"/>
              </w:rPr>
            </w:pPr>
            <w:r>
              <w:rPr>
                <w:i/>
                <w:sz w:val="20"/>
              </w:rPr>
              <w:t>Phone (713) 853-3300</w:t>
            </w:r>
          </w:p>
          <w:p>
            <w:pPr>
              <w:pStyle w:val="Normal"/>
              <w:tabs>
                <w:tab w:val="clear" w:pos="720"/>
                <w:tab w:val="left" w:pos="2412" w:leader="none"/>
              </w:tabs>
              <w:ind w:start="1962" w:end="0"/>
              <w:rPr>
                <w:sz w:val="20"/>
              </w:rPr>
            </w:pPr>
            <w:r>
              <w:rPr>
                <w:i/>
                <w:sz w:val="20"/>
              </w:rPr>
              <w:t>Fax (713) 646-4816</w:t>
            </w:r>
          </w:p>
        </w:tc>
      </w:tr>
    </w:tbl>
    <w:p>
      <w:pPr>
        <w:pStyle w:val="Normal"/>
        <w:jc w:val="center"/>
        <w:rPr>
          <w:sz w:val="20"/>
        </w:rPr>
      </w:pPr>
      <w:r>
        <w:rPr>
          <w:sz w:val="20"/>
        </w:rPr>
      </w:r>
    </w:p>
    <w:p>
      <w:pPr>
        <w:pStyle w:val="Normal"/>
        <w:jc w:val="center"/>
        <w:rPr/>
      </w:pPr>
      <w:r>
        <w:fldChar w:fldCharType="begin"/>
      </w:r>
      <w:r>
        <w:rPr>
          <w:sz w:val="20"/>
        </w:rPr>
        <w:instrText xml:space="preserve"> </w:instrText>
      </w:r>
      <w:r>
        <w:rPr>
          <w:sz w:val="20"/>
        </w:rPr>
      </w:r>
      <w:r>
        <w:rPr>
          <w:sz w:val="20"/>
        </w:rPr>
        <w:fldChar w:fldCharType="separate"/>
      </w:r>
      <w:r>
        <w:rPr>
          <w:sz w:val="20"/>
        </w:rPr>
      </w:r>
      <w:r>
        <w:rPr>
          <w:sz w:val="20"/>
        </w:rPr>
      </w:r>
      <w:r>
        <w:rPr>
          <w:sz w:val="20"/>
        </w:rPr>
        <w:fldChar w:fldCharType="end"/>
      </w:r>
      <w:r>
        <w:rPr>
          <w:sz w:val="20"/>
        </w:rPr>
        <w:t>July 11, 2001</w:t>
      </w:r>
    </w:p>
    <w:p>
      <w:pPr>
        <w:pStyle w:val="Normal"/>
        <w:rPr>
          <w:sz w:val="20"/>
        </w:rPr>
      </w:pPr>
      <w:r>
        <w:rPr>
          <w:sz w:val="20"/>
        </w:rPr>
      </w:r>
    </w:p>
    <w:p>
      <w:pPr>
        <w:pStyle w:val="Normal"/>
        <w:rPr>
          <w:sz w:val="20"/>
        </w:rPr>
      </w:pPr>
      <w:r>
        <w:rPr>
          <w:sz w:val="20"/>
        </w:rPr>
        <w:t>Colorado Springs Utilities</w:t>
      </w:r>
    </w:p>
    <w:p>
      <w:pPr>
        <w:pStyle w:val="Normal"/>
        <w:rPr>
          <w:sz w:val="20"/>
        </w:rPr>
      </w:pPr>
      <w:r>
        <w:rPr>
          <w:sz w:val="20"/>
        </w:rPr>
        <w:t>30 S Nevada</w:t>
      </w:r>
    </w:p>
    <w:p>
      <w:pPr>
        <w:pStyle w:val="Normal"/>
        <w:rPr>
          <w:sz w:val="20"/>
        </w:rPr>
      </w:pPr>
      <w:r>
        <w:rPr>
          <w:sz w:val="20"/>
        </w:rPr>
        <w:t>Colorado Sprng, CO 80903-1802</w:t>
      </w:r>
    </w:p>
    <w:p>
      <w:pPr>
        <w:pStyle w:val="Normal"/>
        <w:rPr>
          <w:sz w:val="20"/>
        </w:rPr>
      </w:pPr>
      <w:r>
        <w:rPr>
          <w:sz w:val="20"/>
        </w:rPr>
        <w:t xml:space="preserve">       </w:t>
      </w:r>
    </w:p>
    <w:p>
      <w:pPr>
        <w:pStyle w:val="Normal"/>
        <w:rPr>
          <w:sz w:val="20"/>
        </w:rPr>
      </w:pPr>
      <w:r>
        <w:rPr>
          <w:sz w:val="20"/>
        </w:rPr>
      </w:r>
    </w:p>
    <w:p>
      <w:pPr>
        <w:pStyle w:val="Normal"/>
        <w:rPr>
          <w:sz w:val="20"/>
        </w:rPr>
      </w:pPr>
      <w:r>
        <w:rPr>
          <w:sz w:val="20"/>
        </w:rPr>
        <w:t>Attn:  Documentation Department</w:t>
      </w:r>
    </w:p>
    <w:p>
      <w:pPr>
        <w:pStyle w:val="Normal"/>
        <w:rPr>
          <w:sz w:val="20"/>
        </w:rPr>
      </w:pPr>
      <w:r>
        <w:rPr>
          <w:sz w:val="20"/>
        </w:rPr>
        <w:t>Fax No.:  +1 (719) 6683380</w:t>
      </w:r>
    </w:p>
    <w:p>
      <w:pPr>
        <w:pStyle w:val="Normal"/>
        <w:rPr>
          <w:sz w:val="20"/>
        </w:rPr>
      </w:pPr>
      <w:r>
        <w:rPr>
          <w:sz w:val="20"/>
        </w:rPr>
        <w:t xml:space="preserve">Deal No.:  889014 </w:t>
      </w:r>
    </w:p>
    <w:p>
      <w:pPr>
        <w:pStyle w:val="Normal"/>
        <w:rPr>
          <w:sz w:val="20"/>
        </w:rPr>
      </w:pPr>
      <w:r>
        <w:rPr>
          <w:sz w:val="20"/>
        </w:rPr>
      </w:r>
    </w:p>
    <w:p>
      <w:pPr>
        <w:pStyle w:val="Normal"/>
        <w:rPr>
          <w:sz w:val="20"/>
        </w:rPr>
      </w:pPr>
      <w:r>
        <w:rPr>
          <w:sz w:val="20"/>
        </w:rPr>
      </w:r>
    </w:p>
    <w:p>
      <w:pPr>
        <w:pStyle w:val="Normal"/>
        <w:jc w:val="center"/>
        <w:rPr/>
      </w:pPr>
      <w:r>
        <w:rPr>
          <w:b/>
          <w:sz w:val="20"/>
        </w:rPr>
        <w:t>ENFOLIO</w:t>
      </w:r>
      <w:r>
        <w:rPr>
          <w:rFonts w:eastAsia="Symbol" w:cs="Symbol" w:ascii="Symbol" w:hAnsi="Symbol"/>
          <w:b/>
          <w:position w:val="6"/>
          <w:sz w:val="20"/>
        </w:rPr>
        <w:sym w:font="Symbol" w:char="f0e2"/>
      </w:r>
      <w:r>
        <w:rPr>
          <w:b/>
          <w:position w:val="6"/>
          <w:sz w:val="20"/>
        </w:rPr>
        <w:t xml:space="preserve"> </w:t>
      </w:r>
      <w:r>
        <w:rPr>
          <w:b/>
          <w:sz w:val="20"/>
        </w:rPr>
        <w:t>FIRM  CONFIRMATION--ENFOLIO</w:t>
      </w:r>
      <w:r>
        <w:rPr>
          <w:rFonts w:eastAsia="Symbol" w:cs="Symbol" w:ascii="Symbol" w:hAnsi="Symbol"/>
          <w:b/>
          <w:position w:val="6"/>
          <w:sz w:val="20"/>
        </w:rPr>
        <w:sym w:font="Symbol" w:char="f0e2"/>
      </w:r>
      <w:r>
        <w:rPr>
          <w:b/>
          <w:position w:val="6"/>
          <w:sz w:val="20"/>
        </w:rPr>
        <w:t xml:space="preserve"> </w:t>
      </w:r>
      <w:r>
        <w:rPr>
          <w:b/>
          <w:sz w:val="20"/>
        </w:rPr>
        <w:t>FIRM GENERAL TERMS &amp; CONDITIONS GOVERN</w:t>
      </w:r>
    </w:p>
    <w:p>
      <w:pPr>
        <w:pStyle w:val="Normal"/>
        <w:rPr>
          <w:b/>
          <w:sz w:val="20"/>
        </w:rPr>
      </w:pPr>
      <w:r>
        <w:rPr>
          <w:b/>
          <w:sz w:val="20"/>
        </w:rPr>
      </w:r>
    </w:p>
    <w:p>
      <w:pPr>
        <w:pStyle w:val="Normal"/>
        <w:rPr>
          <w:sz w:val="20"/>
        </w:rPr>
      </w:pPr>
      <w:r>
        <w:rPr>
          <w:sz w:val="20"/>
        </w:rPr>
      </w:r>
    </w:p>
    <w:p>
      <w:pPr>
        <w:pStyle w:val="Normal"/>
        <w:jc w:val="both"/>
        <w:rPr>
          <w:sz w:val="20"/>
        </w:rPr>
      </w:pPr>
      <w:r>
        <w:rPr>
          <w:sz w:val="20"/>
        </w:rPr>
        <w:t>This Confirmation shall confirm the transaction agreed to on June 28, 2001 and binding between Colorado Springs Utilities ("Customer") and Enron North America Corp. ("ENA" and "Company") regarding the purchase and sale of gas on the following terms. Customer to purchase and receive ("Buyer") and Company to sell and deliver ("Seller").</w:t>
      </w:r>
    </w:p>
    <w:p>
      <w:pPr>
        <w:pStyle w:val="Normal"/>
        <w:rPr>
          <w:b/>
          <w:sz w:val="20"/>
        </w:rPr>
      </w:pPr>
      <w:r>
        <w:rPr>
          <w:b/>
          <w:sz w:val="20"/>
        </w:rPr>
      </w:r>
    </w:p>
    <w:p>
      <w:pPr>
        <w:pStyle w:val="Normal"/>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3528"/>
        <w:gridCol w:w="6048"/>
      </w:tblGrid>
      <w:tr>
        <w:trPr/>
        <w:tc>
          <w:tcPr>
            <w:tcW w:w="3528" w:type="dxa"/>
            <w:tcBorders>
              <w:top w:val="single" w:sz="4" w:space="0" w:color="000000"/>
              <w:start w:val="single" w:sz="4" w:space="0" w:color="000000"/>
            </w:tcBorders>
          </w:tcPr>
          <w:p>
            <w:pPr>
              <w:pStyle w:val="Normal"/>
              <w:keepLines/>
              <w:rPr>
                <w:b/>
                <w:sz w:val="20"/>
              </w:rPr>
            </w:pPr>
            <w:r>
              <w:rPr>
                <w:b/>
                <w:sz w:val="20"/>
              </w:rPr>
              <w:t>MINIMUM DAILY CONTRACT QUANTITY: (“MinDCQ):</w:t>
            </w:r>
          </w:p>
          <w:p>
            <w:pPr>
              <w:pStyle w:val="Normal"/>
              <w:keepLines/>
              <w:rPr>
                <w:b/>
                <w:sz w:val="20"/>
              </w:rPr>
            </w:pPr>
            <w:r>
              <w:rPr>
                <w:b/>
                <w:sz w:val="20"/>
              </w:rPr>
              <w:t>MAXIMUM DAILY CONTRACT QUANTITY: (“MaxDCQ):</w:t>
            </w:r>
          </w:p>
        </w:tc>
        <w:tc>
          <w:tcPr>
            <w:tcW w:w="6048" w:type="dxa"/>
            <w:tcBorders>
              <w:top w:val="single" w:sz="4" w:space="0" w:color="000000"/>
              <w:end w:val="single" w:sz="4" w:space="0" w:color="000000"/>
            </w:tcBorders>
          </w:tcPr>
          <w:p>
            <w:pPr>
              <w:pStyle w:val="Normal"/>
              <w:keepLines/>
              <w:snapToGrid w:val="false"/>
              <w:rPr>
                <w:b/>
                <w:sz w:val="20"/>
              </w:rPr>
            </w:pPr>
            <w:r>
              <w:rPr>
                <w:b/>
                <w:sz w:val="20"/>
              </w:rPr>
            </w:r>
          </w:p>
          <w:p>
            <w:pPr>
              <w:pStyle w:val="Normal"/>
              <w:keepLines/>
              <w:rPr>
                <w:sz w:val="20"/>
              </w:rPr>
            </w:pPr>
            <w:r>
              <w:rPr>
                <w:sz w:val="20"/>
              </w:rPr>
              <w:t xml:space="preserve"> </w:t>
            </w:r>
            <w:r>
              <w:rPr>
                <w:sz w:val="20"/>
              </w:rPr>
              <w:t>0 MMBtu per day</w:t>
            </w:r>
          </w:p>
          <w:p>
            <w:pPr>
              <w:pStyle w:val="Normal"/>
              <w:keepLines/>
              <w:rPr>
                <w:sz w:val="20"/>
              </w:rPr>
            </w:pPr>
            <w:r>
              <w:rPr>
                <w:sz w:val="20"/>
              </w:rPr>
            </w:r>
          </w:p>
          <w:p>
            <w:pPr>
              <w:pStyle w:val="Normal"/>
              <w:keepLines/>
              <w:rPr>
                <w:sz w:val="20"/>
              </w:rPr>
            </w:pPr>
            <w:r>
              <w:rPr>
                <w:sz w:val="20"/>
              </w:rPr>
              <w:t>24,000 MMBtu per day</w:t>
            </w:r>
          </w:p>
        </w:tc>
      </w:tr>
      <w:tr>
        <w:trPr/>
        <w:tc>
          <w:tcPr>
            <w:tcW w:w="3528" w:type="dxa"/>
            <w:tcBorders>
              <w:start w:val="single" w:sz="4" w:space="0" w:color="000000"/>
            </w:tcBorders>
          </w:tcPr>
          <w:p>
            <w:pPr>
              <w:pStyle w:val="Normal"/>
              <w:keepLines/>
              <w:rPr>
                <w:b/>
                <w:sz w:val="20"/>
              </w:rPr>
            </w:pPr>
            <w:r>
              <w:rPr>
                <w:b/>
                <w:sz w:val="20"/>
              </w:rPr>
              <w:t>DELIVERY POINT(S):</w:t>
            </w:r>
          </w:p>
        </w:tc>
        <w:tc>
          <w:tcPr>
            <w:tcW w:w="6048" w:type="dxa"/>
            <w:tcBorders>
              <w:end w:val="single" w:sz="4" w:space="0" w:color="000000"/>
            </w:tcBorders>
          </w:tcPr>
          <w:p>
            <w:pPr>
              <w:pStyle w:val="Normal"/>
              <w:keepLines/>
              <w:rPr>
                <w:b/>
                <w:sz w:val="20"/>
              </w:rPr>
            </w:pPr>
            <w:r>
              <w:rPr>
                <w:sz w:val="20"/>
              </w:rPr>
              <w:t>Colorado Interstate Gas Company - Mainline</w:t>
            </w:r>
          </w:p>
        </w:tc>
      </w:tr>
      <w:tr>
        <w:trPr/>
        <w:tc>
          <w:tcPr>
            <w:tcW w:w="3528" w:type="dxa"/>
            <w:tcBorders>
              <w:start w:val="single" w:sz="4" w:space="0" w:color="000000"/>
            </w:tcBorders>
          </w:tcPr>
          <w:p>
            <w:pPr>
              <w:pStyle w:val="Normal"/>
              <w:keepLines/>
              <w:rPr>
                <w:b/>
                <w:sz w:val="20"/>
              </w:rPr>
            </w:pPr>
            <w:r>
              <w:rPr>
                <w:b/>
                <w:sz w:val="20"/>
              </w:rPr>
              <w:t>PERIOD OF DELIVERY:</w:t>
            </w:r>
          </w:p>
        </w:tc>
        <w:tc>
          <w:tcPr>
            <w:tcW w:w="6048" w:type="dxa"/>
            <w:tcBorders>
              <w:end w:val="single" w:sz="4" w:space="0" w:color="000000"/>
            </w:tcBorders>
          </w:tcPr>
          <w:p>
            <w:pPr>
              <w:pStyle w:val="Normal"/>
              <w:keepLines/>
              <w:rPr>
                <w:sz w:val="20"/>
              </w:rPr>
            </w:pPr>
            <w:r>
              <w:rPr>
                <w:sz w:val="20"/>
              </w:rPr>
              <w:t>November 1, 2001 through March 31, 2002</w:t>
            </w:r>
          </w:p>
        </w:tc>
      </w:tr>
      <w:tr>
        <w:trPr/>
        <w:tc>
          <w:tcPr>
            <w:tcW w:w="3528" w:type="dxa"/>
            <w:tcBorders>
              <w:start w:val="single" w:sz="4" w:space="0" w:color="000000"/>
              <w:bottom w:val="single" w:sz="4" w:space="0" w:color="000000"/>
            </w:tcBorders>
          </w:tcPr>
          <w:p>
            <w:pPr>
              <w:pStyle w:val="Normal"/>
              <w:keepLines/>
              <w:rPr>
                <w:b/>
                <w:sz w:val="20"/>
              </w:rPr>
            </w:pPr>
            <w:r>
              <w:rPr>
                <w:b/>
                <w:sz w:val="20"/>
              </w:rPr>
              <w:t>CONTRACT PRICE:</w:t>
            </w:r>
          </w:p>
          <w:p>
            <w:pPr>
              <w:pStyle w:val="Normal"/>
              <w:keepLines/>
              <w:rPr>
                <w:b/>
                <w:sz w:val="20"/>
              </w:rPr>
            </w:pPr>
            <w:r>
              <w:rPr>
                <w:b/>
                <w:sz w:val="20"/>
              </w:rPr>
            </w:r>
          </w:p>
          <w:p>
            <w:pPr>
              <w:pStyle w:val="Normal"/>
              <w:keepLines/>
              <w:rPr>
                <w:b/>
                <w:sz w:val="20"/>
              </w:rPr>
            </w:pPr>
            <w:r>
              <w:rPr>
                <w:b/>
                <w:sz w:val="20"/>
              </w:rPr>
            </w:r>
          </w:p>
          <w:p>
            <w:pPr>
              <w:pStyle w:val="Normal"/>
              <w:keepLines/>
              <w:rPr>
                <w:b/>
                <w:sz w:val="20"/>
              </w:rPr>
            </w:pPr>
            <w:r>
              <w:rPr>
                <w:b/>
                <w:sz w:val="20"/>
              </w:rPr>
            </w:r>
          </w:p>
          <w:p>
            <w:pPr>
              <w:pStyle w:val="Normal"/>
              <w:keepLines/>
              <w:rPr>
                <w:b/>
                <w:sz w:val="20"/>
              </w:rPr>
            </w:pPr>
            <w:r>
              <w:rPr>
                <w:b/>
                <w:sz w:val="20"/>
              </w:rPr>
            </w:r>
          </w:p>
          <w:p>
            <w:pPr>
              <w:pStyle w:val="Normal"/>
              <w:keepLines/>
              <w:rPr>
                <w:b/>
                <w:sz w:val="20"/>
              </w:rPr>
            </w:pPr>
            <w:r>
              <w:rPr>
                <w:b/>
                <w:sz w:val="20"/>
              </w:rPr>
            </w:r>
          </w:p>
          <w:p>
            <w:pPr>
              <w:pStyle w:val="Normal"/>
              <w:keepLines/>
              <w:rPr>
                <w:b/>
                <w:sz w:val="20"/>
              </w:rPr>
            </w:pPr>
            <w:r>
              <w:rPr>
                <w:b/>
                <w:sz w:val="20"/>
              </w:rPr>
            </w:r>
          </w:p>
          <w:p>
            <w:pPr>
              <w:pStyle w:val="Normal"/>
              <w:keepLines/>
              <w:rPr>
                <w:b/>
                <w:sz w:val="20"/>
              </w:rPr>
            </w:pPr>
            <w:r>
              <w:rPr>
                <w:b/>
                <w:sz w:val="20"/>
              </w:rPr>
            </w:r>
          </w:p>
          <w:p>
            <w:pPr>
              <w:pStyle w:val="Normal"/>
              <w:keepLines/>
              <w:rPr>
                <w:b/>
                <w:sz w:val="20"/>
              </w:rPr>
            </w:pPr>
            <w:r>
              <w:rPr>
                <w:b/>
                <w:sz w:val="20"/>
              </w:rPr>
            </w:r>
          </w:p>
          <w:p>
            <w:pPr>
              <w:pStyle w:val="Normal"/>
              <w:keepLines/>
              <w:rPr>
                <w:b/>
                <w:sz w:val="20"/>
              </w:rPr>
            </w:pPr>
            <w:r>
              <w:rPr>
                <w:b/>
                <w:sz w:val="20"/>
              </w:rPr>
            </w:r>
          </w:p>
          <w:p>
            <w:pPr>
              <w:pStyle w:val="Normal"/>
              <w:keepLines/>
              <w:rPr>
                <w:b/>
                <w:sz w:val="20"/>
              </w:rPr>
            </w:pPr>
            <w:r>
              <w:rPr>
                <w:b/>
                <w:sz w:val="20"/>
              </w:rPr>
            </w:r>
          </w:p>
          <w:p>
            <w:pPr>
              <w:pStyle w:val="Normal"/>
              <w:keepLines/>
              <w:rPr>
                <w:b/>
                <w:sz w:val="20"/>
              </w:rPr>
            </w:pPr>
            <w:r>
              <w:rPr>
                <w:b/>
                <w:sz w:val="20"/>
              </w:rPr>
              <w:t>OTHER:</w:t>
            </w:r>
          </w:p>
          <w:p>
            <w:pPr>
              <w:pStyle w:val="Normal"/>
              <w:keepLines/>
              <w:rPr>
                <w:b/>
                <w:sz w:val="20"/>
              </w:rPr>
            </w:pPr>
            <w:r>
              <w:rPr>
                <w:b/>
                <w:sz w:val="20"/>
              </w:rPr>
            </w:r>
          </w:p>
          <w:p>
            <w:pPr>
              <w:pStyle w:val="Normal"/>
              <w:keepLines/>
              <w:rPr>
                <w:b/>
                <w:sz w:val="20"/>
              </w:rPr>
            </w:pPr>
            <w:r>
              <w:rPr>
                <w:b/>
                <w:sz w:val="20"/>
              </w:rPr>
            </w:r>
          </w:p>
        </w:tc>
        <w:tc>
          <w:tcPr>
            <w:tcW w:w="6048" w:type="dxa"/>
            <w:tcBorders>
              <w:bottom w:val="single" w:sz="4" w:space="0" w:color="000000"/>
              <w:end w:val="single" w:sz="4" w:space="0" w:color="000000"/>
            </w:tcBorders>
          </w:tcPr>
          <w:p>
            <w:pPr>
              <w:pStyle w:val="Normal"/>
              <w:keepLines/>
              <w:rPr>
                <w:sz w:val="20"/>
              </w:rPr>
            </w:pPr>
            <w:r>
              <w:rPr>
                <w:sz w:val="20"/>
              </w:rPr>
              <w:t xml:space="preserve">The Contract Price for the applicable Period of Delivery (the “Relevant Period”) shall be 100% of the published index specified below plus USD $0.02000 per MMBtu:  </w:t>
            </w:r>
          </w:p>
          <w:p>
            <w:pPr>
              <w:pStyle w:val="Normal"/>
              <w:keepLines/>
              <w:rPr>
                <w:sz w:val="20"/>
              </w:rPr>
            </w:pPr>
            <w:r>
              <w:rPr>
                <w:sz w:val="20"/>
              </w:rPr>
            </w:r>
          </w:p>
          <w:p>
            <w:pPr>
              <w:pStyle w:val="Normal"/>
              <w:keepLines/>
              <w:rPr>
                <w:sz w:val="20"/>
              </w:rPr>
            </w:pPr>
            <w:r>
              <w:rPr>
                <w:sz w:val="20"/>
              </w:rPr>
              <w:t>Publication:</w:t>
              <w:tab/>
              <w:t>Gas Daily</w:t>
            </w:r>
          </w:p>
          <w:p>
            <w:pPr>
              <w:pStyle w:val="Normal"/>
              <w:keepLines/>
              <w:rPr>
                <w:sz w:val="20"/>
              </w:rPr>
            </w:pPr>
            <w:r>
              <w:rPr>
                <w:sz w:val="20"/>
              </w:rPr>
              <w:t>Section:</w:t>
              <w:tab/>
              <w:t xml:space="preserve">Daily Price Survey </w:t>
            </w:r>
          </w:p>
          <w:p>
            <w:pPr>
              <w:pStyle w:val="Normal"/>
              <w:keepLines/>
              <w:rPr>
                <w:sz w:val="20"/>
              </w:rPr>
            </w:pPr>
            <w:r>
              <w:rPr>
                <w:sz w:val="20"/>
              </w:rPr>
              <w:t>Location:</w:t>
              <w:tab/>
              <w:t>Rockies -- CIG (N. system)</w:t>
            </w:r>
          </w:p>
          <w:p>
            <w:pPr>
              <w:pStyle w:val="Normal"/>
              <w:keepLines/>
              <w:rPr>
                <w:sz w:val="20"/>
              </w:rPr>
            </w:pPr>
            <w:r>
              <w:rPr>
                <w:sz w:val="20"/>
              </w:rPr>
              <w:t>Price:</w:t>
              <w:tab/>
              <w:t>Daily Midpoint price (if calendar day is not a business day, use Daily Midpoint price on next business day)</w:t>
            </w:r>
          </w:p>
          <w:p>
            <w:pPr>
              <w:pStyle w:val="Normal"/>
              <w:keepLines/>
              <w:rPr>
                <w:sz w:val="20"/>
              </w:rPr>
            </w:pPr>
            <w:r>
              <w:rPr>
                <w:sz w:val="20"/>
              </w:rPr>
              <w:t>Issue:</w:t>
              <w:tab/>
              <w:t>Issues published for the Relevant Period</w:t>
            </w:r>
          </w:p>
          <w:p>
            <w:pPr>
              <w:pStyle w:val="Normal"/>
              <w:keepLines/>
              <w:rPr>
                <w:sz w:val="20"/>
              </w:rPr>
            </w:pPr>
            <w:r>
              <w:rPr>
                <w:sz w:val="20"/>
              </w:rPr>
            </w:r>
          </w:p>
          <w:p>
            <w:pPr>
              <w:pStyle w:val="Normal"/>
              <w:numPr>
                <w:ilvl w:val="0"/>
                <w:numId w:val="2"/>
              </w:numPr>
              <w:jc w:val="both"/>
              <w:rPr>
                <w:sz w:val="20"/>
              </w:rPr>
            </w:pPr>
            <w:r>
              <w:rPr>
                <w:sz w:val="20"/>
              </w:rPr>
              <w:t>“</w:t>
            </w:r>
            <w:r>
              <w:rPr>
                <w:b/>
                <w:sz w:val="20"/>
              </w:rPr>
              <w:t>MinDCQ</w:t>
            </w:r>
            <w:r>
              <w:rPr>
                <w:sz w:val="20"/>
              </w:rPr>
              <w:t>” means the minimum quantity of gas that Buyer is required to schedule per gas day. Customer must exercise a minimum quantity of 2,000,000 MMBtu over the whole Period of Delivery.</w:t>
            </w:r>
          </w:p>
          <w:p>
            <w:pPr>
              <w:pStyle w:val="Normal"/>
              <w:numPr>
                <w:ilvl w:val="0"/>
                <w:numId w:val="2"/>
              </w:numPr>
              <w:jc w:val="both"/>
              <w:rPr>
                <w:sz w:val="20"/>
              </w:rPr>
            </w:pPr>
            <w:r>
              <w:rPr>
                <w:sz w:val="20"/>
              </w:rPr>
              <w:t>“</w:t>
            </w:r>
            <w:r>
              <w:rPr>
                <w:b/>
                <w:sz w:val="20"/>
              </w:rPr>
              <w:t>MaxDCQ</w:t>
            </w:r>
            <w:r>
              <w:rPr>
                <w:sz w:val="20"/>
              </w:rPr>
              <w:t>” means the maximum quantity of gas that Buyer is required to schedule per gas day.</w:t>
            </w:r>
          </w:p>
          <w:p>
            <w:pPr>
              <w:pStyle w:val="Normal"/>
              <w:numPr>
                <w:ilvl w:val="0"/>
                <w:numId w:val="2"/>
              </w:numPr>
              <w:jc w:val="both"/>
              <w:rPr>
                <w:sz w:val="20"/>
              </w:rPr>
            </w:pPr>
            <w:r>
              <w:rPr>
                <w:sz w:val="20"/>
              </w:rPr>
              <w:t>Buyer shall have the right to buy gas from Seller up to the MaxDCQ on any day during the Period of Delivery.</w:t>
            </w:r>
          </w:p>
          <w:p>
            <w:pPr>
              <w:pStyle w:val="Normal"/>
              <w:numPr>
                <w:ilvl w:val="0"/>
                <w:numId w:val="2"/>
              </w:numPr>
              <w:jc w:val="both"/>
              <w:rPr>
                <w:sz w:val="20"/>
              </w:rPr>
            </w:pPr>
            <w:r>
              <w:rPr>
                <w:sz w:val="20"/>
              </w:rPr>
              <w:t xml:space="preserve">In the event Buyer exercises its option as outlined in item 3 above, Buyer shall pay Seller an amount per MMBtu equal to the Contract Price. </w:t>
            </w:r>
          </w:p>
          <w:p>
            <w:pPr>
              <w:pStyle w:val="Normal"/>
              <w:numPr>
                <w:ilvl w:val="0"/>
                <w:numId w:val="2"/>
              </w:numPr>
              <w:jc w:val="both"/>
              <w:rPr>
                <w:sz w:val="20"/>
              </w:rPr>
            </w:pPr>
            <w:r>
              <w:rPr>
                <w:sz w:val="20"/>
              </w:rPr>
              <w:t>For the right to buy gas from Seller as shown above, Buyer shall pay to Seller US Dollars $7,200.00 on the first Business Day of each Delivery Month.</w:t>
            </w:r>
          </w:p>
          <w:p>
            <w:pPr>
              <w:pStyle w:val="Normal"/>
              <w:numPr>
                <w:ilvl w:val="0"/>
                <w:numId w:val="2"/>
              </w:numPr>
              <w:jc w:val="both"/>
              <w:rPr>
                <w:sz w:val="20"/>
              </w:rPr>
            </w:pPr>
            <w:r>
              <w:rPr>
                <w:sz w:val="20"/>
              </w:rPr>
              <w:t>Neither Buyer nor Seller shall be obligated to give a daily quantity nomination since the transaction is a “call option” in favor of Buyer.  Buyer may exercise such option by providing Seller facsimile notice of Buyer’s election to buy up to the MaxDCQ under the terms set forth herein by 8:30 am C.S.T. the day of the pipeline nomination deadline for the day on which Buyer desires the gas to flow.</w:t>
            </w:r>
          </w:p>
          <w:p>
            <w:pPr>
              <w:pStyle w:val="Normal"/>
              <w:keepLines/>
              <w:ind w:hanging="1152" w:end="0"/>
              <w:rPr>
                <w:sz w:val="20"/>
              </w:rPr>
            </w:pPr>
            <w:r>
              <w:rPr>
                <w:sz w:val="20"/>
              </w:rPr>
            </w:r>
          </w:p>
        </w:tc>
      </w:tr>
      <w:tr>
        <w:trPr/>
        <w:tc>
          <w:tcPr>
            <w:tcW w:w="3528" w:type="dxa"/>
            <w:tcBorders/>
          </w:tcPr>
          <w:p>
            <w:pPr>
              <w:pStyle w:val="Normal"/>
              <w:snapToGrid w:val="false"/>
              <w:rPr>
                <w:b/>
                <w:sz w:val="20"/>
              </w:rPr>
            </w:pPr>
            <w:r>
              <w:rPr>
                <w:b/>
                <w:sz w:val="20"/>
              </w:rPr>
            </w:r>
          </w:p>
        </w:tc>
        <w:tc>
          <w:tcPr>
            <w:tcW w:w="6048" w:type="dxa"/>
            <w:tcBorders/>
          </w:tcPr>
          <w:p>
            <w:pPr>
              <w:pStyle w:val="Normal"/>
              <w:snapToGrid w:val="false"/>
              <w:rPr>
                <w:b/>
                <w:sz w:val="20"/>
              </w:rPr>
            </w:pPr>
            <w:r>
              <w:rPr>
                <w:b/>
                <w:sz w:val="20"/>
              </w:rPr>
            </w:r>
          </w:p>
        </w:tc>
      </w:tr>
    </w:tbl>
    <w:p>
      <w:pPr>
        <w:pStyle w:val="Normal"/>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Lines/>
              <w:rPr>
                <w:b/>
                <w:sz w:val="20"/>
              </w:rPr>
            </w:pPr>
            <w:r>
              <w:rPr>
                <w:b/>
                <w:sz w:val="20"/>
              </w:rPr>
              <w:t>NOTICES/CORRESPONDENCE:</w:t>
            </w:r>
          </w:p>
          <w:p>
            <w:pPr>
              <w:pStyle w:val="Normal"/>
              <w:keepLines/>
              <w:rPr>
                <w:sz w:val="20"/>
              </w:rPr>
            </w:pPr>
            <w:r>
              <w:rPr>
                <w:sz w:val="20"/>
              </w:rPr>
              <w:t>P.O. Box 4428,Houston, Texas 77210-4428</w:t>
            </w:r>
          </w:p>
          <w:p>
            <w:pPr>
              <w:pStyle w:val="Normal"/>
              <w:keepLines/>
              <w:rPr>
                <w:sz w:val="20"/>
              </w:rPr>
            </w:pPr>
            <w:r>
              <w:rPr>
                <w:sz w:val="20"/>
              </w:rPr>
              <w:t>Attn: Documentation and Deal Clearing</w:t>
            </w:r>
          </w:p>
          <w:p>
            <w:pPr>
              <w:pStyle w:val="Normal"/>
              <w:keepLines/>
              <w:rPr>
                <w:sz w:val="20"/>
              </w:rPr>
            </w:pPr>
            <w:r>
              <w:rPr>
                <w:sz w:val="20"/>
              </w:rPr>
              <w:t>Facsimile No. (713) 646-4816</w:t>
            </w:r>
          </w:p>
          <w:p>
            <w:pPr>
              <w:pStyle w:val="Normal"/>
              <w:keepLines/>
              <w:rPr>
                <w:sz w:val="20"/>
              </w:rPr>
            </w:pPr>
            <w:r>
              <w:rPr>
                <w:sz w:val="20"/>
              </w:rPr>
              <w:t>Termination Notice Facsimile No. (713) 646-4818</w:t>
            </w:r>
          </w:p>
        </w:tc>
        <w:tc>
          <w:tcPr>
            <w:tcW w:w="4788" w:type="dxa"/>
            <w:tcBorders/>
          </w:tcPr>
          <w:p>
            <w:pPr>
              <w:pStyle w:val="Normal"/>
              <w:keepLines/>
              <w:rPr>
                <w:b/>
                <w:sz w:val="20"/>
              </w:rPr>
            </w:pPr>
            <w:r>
              <w:rPr>
                <w:b/>
                <w:sz w:val="20"/>
              </w:rPr>
              <w:t>PAYMENTS:</w:t>
            </w:r>
          </w:p>
          <w:p>
            <w:pPr>
              <w:pStyle w:val="Normal"/>
              <w:keepLines/>
              <w:rPr>
                <w:sz w:val="20"/>
              </w:rPr>
            </w:pPr>
            <w:r>
              <w:rPr>
                <w:sz w:val="20"/>
              </w:rPr>
              <w:t>Enron North America Corp.</w:t>
            </w:r>
          </w:p>
          <w:p>
            <w:pPr>
              <w:pStyle w:val="Normal"/>
              <w:keepLines/>
              <w:rPr>
                <w:sz w:val="20"/>
              </w:rPr>
            </w:pPr>
            <w:r>
              <w:rPr>
                <w:sz w:val="20"/>
              </w:rPr>
              <w:t>ABA Routing 111000012</w:t>
            </w:r>
          </w:p>
          <w:p>
            <w:pPr>
              <w:pStyle w:val="Normal"/>
              <w:keepLines/>
              <w:rPr>
                <w:sz w:val="20"/>
              </w:rPr>
            </w:pPr>
            <w:r>
              <w:rPr>
                <w:sz w:val="20"/>
              </w:rPr>
              <w:t xml:space="preserve">Bank of America </w:t>
            </w:r>
          </w:p>
          <w:p>
            <w:pPr>
              <w:pStyle w:val="Normal"/>
              <w:keepLines/>
              <w:rPr>
                <w:sz w:val="20"/>
              </w:rPr>
            </w:pPr>
            <w:r>
              <w:rPr>
                <w:sz w:val="20"/>
              </w:rPr>
              <w:t>Account 3750494099</w:t>
            </w:r>
          </w:p>
        </w:tc>
      </w:tr>
      <w:tr>
        <w:trPr/>
        <w:tc>
          <w:tcPr>
            <w:tcW w:w="4788" w:type="dxa"/>
            <w:tcBorders/>
          </w:tcPr>
          <w:p>
            <w:pPr>
              <w:pStyle w:val="Normal"/>
              <w:keepLines/>
              <w:rPr>
                <w:b/>
                <w:sz w:val="20"/>
              </w:rPr>
            </w:pPr>
            <w:r>
              <w:rPr>
                <w:b/>
                <w:sz w:val="20"/>
              </w:rPr>
              <w:t>BILLING, INVOICES AND ACCOUNTING MATTERS TO COMPANY:</w:t>
            </w:r>
          </w:p>
          <w:p>
            <w:pPr>
              <w:pStyle w:val="Normal"/>
              <w:keepLines/>
              <w:rPr>
                <w:sz w:val="20"/>
              </w:rPr>
            </w:pPr>
            <w:r>
              <w:rPr>
                <w:sz w:val="20"/>
              </w:rPr>
              <w:t>P.O. Box 4428</w:t>
            </w:r>
          </w:p>
          <w:p>
            <w:pPr>
              <w:pStyle w:val="Normal"/>
              <w:keepLines/>
              <w:rPr>
                <w:sz w:val="20"/>
              </w:rPr>
            </w:pPr>
            <w:r>
              <w:rPr>
                <w:sz w:val="20"/>
              </w:rPr>
              <w:t>Houston, Texas 77210-4428</w:t>
            </w:r>
          </w:p>
          <w:p>
            <w:pPr>
              <w:pStyle w:val="Normal"/>
              <w:keepLines/>
              <w:rPr>
                <w:sz w:val="20"/>
              </w:rPr>
            </w:pPr>
            <w:r>
              <w:rPr>
                <w:sz w:val="20"/>
              </w:rPr>
              <w:t>Attn: Client Services</w:t>
            </w:r>
          </w:p>
          <w:p>
            <w:pPr>
              <w:pStyle w:val="Normal"/>
              <w:keepLines/>
              <w:rPr>
                <w:sz w:val="20"/>
              </w:rPr>
            </w:pPr>
            <w:r>
              <w:rPr>
                <w:sz w:val="20"/>
              </w:rPr>
              <w:t>Facsimile No. (713) 646-8420</w:t>
            </w:r>
          </w:p>
        </w:tc>
        <w:tc>
          <w:tcPr>
            <w:tcW w:w="4788" w:type="dxa"/>
            <w:tcBorders/>
          </w:tcPr>
          <w:p>
            <w:pPr>
              <w:pStyle w:val="Normal"/>
              <w:keepLines/>
              <w:rPr>
                <w:b/>
                <w:sz w:val="20"/>
              </w:rPr>
            </w:pPr>
            <w:r>
              <w:rPr>
                <w:b/>
                <w:sz w:val="20"/>
              </w:rPr>
              <w:t>NOMINATIONS TO COMPANY:</w:t>
            </w:r>
          </w:p>
          <w:p>
            <w:pPr>
              <w:pStyle w:val="Normal"/>
              <w:keepLines/>
              <w:rPr>
                <w:b/>
                <w:sz w:val="20"/>
              </w:rPr>
            </w:pPr>
            <w:r>
              <w:rPr>
                <w:sz w:val="20"/>
              </w:rPr>
              <w:t>1(800)356-9427/1(800)FLOWGAS</w:t>
            </w:r>
          </w:p>
          <w:p>
            <w:pPr>
              <w:pStyle w:val="Normal"/>
              <w:keepLines/>
              <w:rPr>
                <w:b/>
                <w:sz w:val="20"/>
              </w:rPr>
            </w:pPr>
            <w:r>
              <w:rPr>
                <w:b/>
                <w:sz w:val="20"/>
              </w:rPr>
              <w:t>SCHEDULING CONFIRMATIONS TO COMPANY:</w:t>
            </w:r>
          </w:p>
          <w:p>
            <w:pPr>
              <w:pStyle w:val="Normal"/>
              <w:keepLines/>
              <w:rPr>
                <w:sz w:val="20"/>
              </w:rPr>
            </w:pPr>
            <w:r>
              <w:rPr>
                <w:sz w:val="20"/>
              </w:rPr>
              <w:t>Attn: ENA Gas Trading</w:t>
            </w:r>
          </w:p>
          <w:p>
            <w:pPr>
              <w:pStyle w:val="Normal"/>
              <w:keepLines/>
              <w:rPr>
                <w:sz w:val="20"/>
              </w:rPr>
            </w:pPr>
            <w:r>
              <w:rPr>
                <w:sz w:val="20"/>
              </w:rPr>
              <w:t xml:space="preserve"> </w:t>
            </w:r>
            <w:r>
              <w:rPr>
                <w:sz w:val="20"/>
              </w:rPr>
              <w:t>Facsimile No.: (713) 646-2531</w:t>
            </w:r>
          </w:p>
        </w:tc>
      </w:tr>
    </w:tbl>
    <w:p>
      <w:pPr>
        <w:pStyle w:val="Normal"/>
        <w:rPr>
          <w:sz w:val="20"/>
        </w:rPr>
      </w:pPr>
      <w:r>
        <w:rPr>
          <w:sz w:val="20"/>
        </w:rPr>
      </w:r>
    </w:p>
    <w:p>
      <w:pPr>
        <w:pStyle w:val="BodyText"/>
        <w:ind w:firstLine="720" w:end="0"/>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sz w:val="20"/>
        </w:rPr>
      </w:pPr>
      <w:r>
        <w:rPr>
          <w:sz w:val="20"/>
        </w:rPr>
        <w:t xml:space="preserve"> </w:t>
      </w:r>
    </w:p>
    <w:p>
      <w:pPr>
        <w:pStyle w:val="Normal"/>
        <w:ind w:firstLine="720" w:end="0"/>
        <w:jc w:val="both"/>
        <w:rPr>
          <w:sz w:val="20"/>
        </w:rPr>
      </w:pPr>
      <w:r>
        <w:rPr>
          <w:sz w:val="20"/>
        </w:rPr>
        <w:t>This Confirmation is being provided pursuant to and in accordance with the ENFOLIO FIRM GENERAL TERMS &amp; CONDITIONS (the "Firm GTC") and constitutes part of and is subject to all of the provisions of the Firm GTC.  Company does hereby adopt its letterhead, including its address, as its signature in respect of the identification of Company and the authentication by Company of this Confirmation.  Any objection of Counterparty to this Confirmation must be made by written notice to Company within 10 days receipt of same.</w:t>
      </w:r>
    </w:p>
    <w:p>
      <w:pPr>
        <w:pStyle w:val="Normal"/>
        <w:ind w:firstLine="720" w:end="0"/>
        <w:jc w:val="both"/>
        <w:rPr>
          <w:sz w:val="20"/>
        </w:rPr>
      </w:pPr>
      <w:r>
        <w:rPr>
          <w:sz w:val="20"/>
        </w:rPr>
      </w:r>
    </w:p>
    <w:p>
      <w:pPr>
        <w:pStyle w:val="Normal"/>
        <w:jc w:val="both"/>
        <w:rPr>
          <w:sz w:val="16"/>
        </w:rPr>
      </w:pPr>
      <w:r>
        <w:rPr>
          <w:sz w:val="16"/>
        </w:rPr>
        <w:t>Confirmation Creation Date:  July 11, 2001</w:t>
      </w:r>
    </w:p>
    <w:p>
      <w:pPr>
        <w:pStyle w:val="Normal"/>
        <w:jc w:val="both"/>
        <w:rPr>
          <w:sz w:val="20"/>
        </w:rPr>
      </w:pPr>
      <w:r>
        <w:rPr>
          <w:sz w:val="20"/>
        </w:rPr>
      </w:r>
    </w:p>
    <w:sectPr>
      <w:headerReference w:type="default" r:id="rId3"/>
      <w:headerReference w:type="first" r:id="rId4"/>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Deal No.:  </w:t>
    </w:r>
    <w:r>
      <w:rPr>
        <w:sz w:val="20"/>
      </w:rPr>
      <w:fldChar w:fldCharType="begin"/>
    </w:r>
    <w:r>
      <w:rPr>
        <w:sz w:val="20"/>
      </w:rPr>
      <w:instrText xml:space="preserve"> TITLE </w:instrText>
    </w:r>
    <w:r>
      <w:rPr>
        <w:sz w:val="20"/>
      </w:rPr>
      <w:fldChar w:fldCharType="separate"/>
    </w:r>
    <w:r>
      <w:rPr>
        <w:sz w:val="20"/>
      </w:rPr>
      <w:t>889014</w:t>
    </w:r>
    <w:r>
      <w:rPr>
        <w:sz w:val="20"/>
      </w:rPr>
      <w:fldChar w:fldCharType="end"/>
    </w:r>
    <w:r>
      <w:rPr>
        <w:sz w:val="20"/>
      </w:rPr>
      <w:t xml:space="preserve"> </w:t>
    </w:r>
    <w:r>
      <w:rPr>
        <w:sz w:val="20"/>
      </w:rPr>
      <w:fldChar w:fldCharType="begin"/>
    </w:r>
    <w:r>
      <w:rPr>
        <w:sz w:val="20"/>
      </w:rPr>
      <w:instrText xml:space="preserve"> TITLE </w:instrText>
    </w:r>
    <w:r>
      <w:rPr>
        <w:sz w:val="20"/>
      </w:rPr>
      <w:fldChar w:fldCharType="separate"/>
    </w:r>
    <w:r>
      <w:rPr>
        <w:sz w:val="20"/>
      </w:rPr>
      <w:t>889014</w:t>
    </w:r>
    <w:r>
      <w:rPr>
        <w:sz w:val="20"/>
      </w:rPr>
      <w:fldChar w:fldCharType="end"/>
    </w:r>
    <w:r>
      <w:rPr>
        <w:sz w:val="20"/>
      </w:rPr>
      <w:t xml:space="preserve"> </w:t>
    </w:r>
  </w:p>
  <w:p>
    <w:pPr>
      <w:pStyle w:val="Header"/>
      <w:rPr>
        <w:sz w:val="20"/>
      </w:rPr>
    </w:pPr>
    <w:r>
      <w:rPr>
        <w:sz w:val="20"/>
        <w:u w:val="single"/>
      </w:rPr>
      <w:t xml:space="preserve">Page:  </w:t>
    </w:r>
    <w:r>
      <w:rPr>
        <w:sz w:val="20"/>
        <w:u w:val="single"/>
      </w:rPr>
      <w:fldChar w:fldCharType="begin"/>
    </w:r>
    <w:r>
      <w:rPr>
        <w:sz w:val="20"/>
        <w:u w:val="single"/>
      </w:rPr>
      <w:instrText xml:space="preserve"> PAGE </w:instrText>
    </w:r>
    <w:r>
      <w:rPr>
        <w:sz w:val="20"/>
        <w:u w:val="single"/>
      </w:rPr>
      <w:fldChar w:fldCharType="separate"/>
    </w:r>
    <w:r>
      <w:rPr>
        <w:sz w:val="20"/>
        <w:u w:val="single"/>
      </w:rPr>
      <w:t>2</w:t>
    </w:r>
    <w:r>
      <w:rPr>
        <w:sz w:val="20"/>
        <w:u w:val="single"/>
      </w:rPr>
      <w:fldChar w:fldCharType="end"/>
    </w:r>
    <w:r>
      <w:rPr>
        <w:sz w:val="20"/>
        <w:u w:val="single"/>
      </w:rPr>
      <w:tab/>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2001-07-20T12:24:00Z</dcterms:created>
  <dc:creator>ECT</dc:creator>
  <dc:description/>
  <dc:language>en-CA</dc:language>
  <cp:lastModifiedBy>ewallumr</cp:lastModifiedBy>
  <dcterms:modified xsi:type="dcterms:W3CDTF">2001-07-20T12:30:00Z</dcterms:modified>
  <cp:revision>2</cp:revision>
  <dc:subject/>
  <dc:title>889014</dc:title>
</cp:coreProperties>
</file>