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media/image1.png" ContentType="image/png"/>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dressen"/>
        <w:rPr/>
      </w:pPr>
      <w:r>
        <mc:AlternateContent>
          <mc:Choice Requires="wps">
            <w:drawing>
              <wp:anchor behindDoc="0" distT="0" distB="0" distL="114935" distR="114935" simplePos="0" locked="0" layoutInCell="0" allowOverlap="1" relativeHeight="14">
                <wp:simplePos x="0" y="0"/>
                <wp:positionH relativeFrom="page">
                  <wp:posOffset>118745</wp:posOffset>
                </wp:positionH>
                <wp:positionV relativeFrom="page">
                  <wp:posOffset>8976360</wp:posOffset>
                </wp:positionV>
                <wp:extent cx="915035" cy="216535"/>
                <wp:effectExtent l="0" t="0" r="0" b="0"/>
                <wp:wrapNone/>
                <wp:docPr id="1" name=""/>
                <a:graphic xmlns:a="http://schemas.openxmlformats.org/drawingml/2006/main">
                  <a:graphicData uri="http://schemas.microsoft.com/office/word/2010/wordprocessingShape">
                    <wps:wsp>
                      <wps:cNvSpPr txBox="1"/>
                      <wps:spPr>
                        <a:xfrm rot="16200000">
                          <a:off x="0" y="0"/>
                          <a:ext cx="915120" cy="216360"/>
                        </a:xfrm>
                        <a:prstGeom prst="rect">
                          <a:avLst/>
                        </a:prstGeom>
                        <a:noFill/>
                        <a:ln w="0">
                          <a:noFill/>
                        </a:ln>
                      </wps:spPr>
                      <wps:txbx>
                        <w:txbxContent>
                          <w:p>
                            <w:pPr>
                              <w:tabs>
                                <w:tab w:val="left" w:pos="964" w:leader="none"/>
                              </w:tabs>
                              <w:overflowPunct w:val="false"/>
                              <w:bidi w:val="0"/>
                              <w:rPr/>
                            </w:pPr>
                            <w:r>
                              <w:rPr>
                                <w:kern w:val="2"/>
                                <w:sz w:val="14"/>
                                <w:szCs w:val="20"/>
                                <w:rFonts w:ascii="Arial" w:hAnsi="Arial" w:eastAsia="Times New Roman" w:cs="Arial"/>
                                <w:color w:val="auto"/>
                                <w:lang w:val="en-GB"/>
                              </w:rPr>
                              <w:t xml:space="preserve">144902 v11 </w:t>
                            </w:r>
                          </w:p>
                        </w:txbxContent>
                      </wps:txbx>
                      <wps:bodyPr wrap="square" lIns="36360" rIns="0" tIns="36360" bIns="3636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9.35pt;margin-top:706.8pt;width:72pt;height:17pt;mso-wrap-style:square;v-text-anchor:top;rotation:270;mso-position-horizontal-relative:page;mso-position-vertical-relative:page" type="_x0000_t202">
                <v:textbox style="mso-layout-flow-alt:bottom-to-top">
                  <w:txbxContent>
                    <w:p>
                      <w:pPr>
                        <w:tabs>
                          <w:tab w:val="left" w:pos="964" w:leader="none"/>
                        </w:tabs>
                        <w:overflowPunct w:val="false"/>
                        <w:bidi w:val="0"/>
                        <w:rPr/>
                      </w:pPr>
                      <w:r>
                        <w:rPr>
                          <w:kern w:val="2"/>
                          <w:sz w:val="14"/>
                          <w:szCs w:val="20"/>
                          <w:rFonts w:ascii="Arial" w:hAnsi="Arial" w:eastAsia="Times New Roman" w:cs="Arial"/>
                          <w:color w:val="auto"/>
                          <w:lang w:val="en-GB"/>
                        </w:rPr>
                        <w:t xml:space="preserve">144902 v11 </w:t>
                      </w:r>
                    </w:p>
                  </w:txbxContent>
                </v:textbox>
                <v:fill o:detectmouseclick="t" on="false"/>
                <v:stroke color="#3465a4" joinstyle="round" endcap="flat"/>
                <w10:wrap type="none"/>
              </v:shape>
            </w:pict>
          </mc:Fallback>
        </mc:AlternateContent>
      </w:r>
      <w:r>
        <w:fldChar w:fldCharType="begin">
          <w:ffData>
            <w:name w:val="Datum"/>
            <w:enabled/>
            <w:calcOnExit w:val="0"/>
            <w:textInput>
              <w:maxLength w:val="30"/>
            </w:textInput>
          </w:ffData>
        </w:fldChar>
      </w:r>
      <w:r>
        <w:rPr/>
        <w:instrText xml:space="preserve"> FORMTEXT </w:instrText>
      </w:r>
      <w:r/>
      <w:r>
        <w:rPr/>
      </w:r>
      <w:r>
        <w:rPr/>
        <w:fldChar w:fldCharType="separate"/>
      </w:r>
      <w:r>
        <w:rPr/>
        <w:t>26 April 2000</w:t>
      </w:r>
      <w:r>
        <w:rPr/>
      </w:r>
      <w:r>
        <w:rPr/>
        <w:fldChar w:fldCharType="end"/>
      </w:r>
      <w:r>
        <w:rPr/>
        <w:tab/>
      </w:r>
      <w:r>
        <w:fldChar w:fldCharType="begin">
          <w:ffData>
            <w:name w:val="Företag"/>
            <w:enabled/>
            <w:calcOnExit w:val="0"/>
            <w:textInput>
              <w:maxLength w:val="80"/>
            </w:textInput>
          </w:ffData>
        </w:fldChar>
      </w:r>
      <w:r>
        <w:rPr/>
        <w:instrText xml:space="preserve"> FORMTEXT </w:instrText>
      </w:r>
      <w:r>
        <w:rPr/>
      </w:r>
      <w:r>
        <w:rPr/>
        <w:fldChar w:fldCharType="separate"/>
      </w:r>
      <w:r>
        <w:rPr/>
        <w:t>Nordic Association of Electricity Traders</w:t>
      </w:r>
      <w:r/>
      <w:r>
        <w:rPr/>
        <w:fldChar w:fldCharType="end"/>
      </w:r>
      <w:r>
        <w:rPr/>
      </w:r>
    </w:p>
    <w:p>
      <w:pPr>
        <w:pStyle w:val="Adressen"/>
        <w:rPr/>
      </w:pPr>
      <w:r>
        <w:rPr/>
        <w:t>24513184.001 FW/cs</w:t>
        <w:tab/>
      </w:r>
      <w:r>
        <w:fldChar w:fldCharType="begin">
          <w:ffData>
            <w:name w:val="Namn"/>
            <w:enabled/>
            <w:calcOnExit w:val="0"/>
            <w:textInput>
              <w:maxLength w:val="80"/>
            </w:textInput>
          </w:ffData>
        </w:fldChar>
      </w:r>
      <w:r>
        <w:rPr/>
        <w:instrText xml:space="preserve"> FORMTEXT </w:instrText>
      </w:r>
      <w:r>
        <w:rPr/>
      </w:r>
      <w:r>
        <w:rPr>
          <w:i/>
        </w:rPr>
        <w:fldChar w:fldCharType="separate"/>
      </w:r>
      <w:r>
        <w:rPr>
          <w:i/>
        </w:rPr>
        <w:t>(Nordisk Krafthandlerforeni</w:t>
      </w:r>
      <w:r>
        <w:rPr/>
        <w:t>ng)</w:t>
      </w:r>
      <w:r/>
      <w:r>
        <w:rPr/>
        <w:fldChar w:fldCharType="end"/>
      </w:r>
      <w:r>
        <w:rPr/>
      </w:r>
    </w:p>
    <w:p>
      <w:pPr>
        <w:pStyle w:val="Adressen"/>
        <w:rPr/>
      </w:pPr>
      <w:r>
        <w:rPr/>
        <w:tab/>
      </w:r>
      <w:r>
        <w:fldChar w:fldCharType="begin">
          <w:ffData>
            <w:name w:val="Adress"/>
            <w:enabled/>
            <w:calcOnExit w:val="0"/>
            <w:textInput>
              <w:maxLength w:val="40"/>
            </w:textInput>
          </w:ffData>
        </w:fldChar>
      </w:r>
      <w:r>
        <w:rPr/>
        <w:instrText xml:space="preserve"> FORMTEXT </w:instrText>
      </w:r>
      <w:r>
        <w:rPr/>
      </w:r>
      <w:r>
        <w:rPr/>
        <w:fldChar w:fldCharType="separate"/>
      </w:r>
      <w:r>
        <w:rPr/>
        <w:t>     </w:t>
      </w:r>
      <w:r/>
      <w:r>
        <w:rPr/>
        <w:fldChar w:fldCharType="end"/>
      </w:r>
      <w:r>
        <w:rPr/>
      </w:r>
    </w:p>
    <w:p>
      <w:pPr>
        <w:pStyle w:val="Adressen"/>
        <w:rPr/>
      </w:pPr>
      <w:r>
        <w:rPr/>
        <w:tab/>
      </w:r>
      <w:r>
        <w:fldChar w:fldCharType="begin">
          <w:ffData>
            <w:name w:val="Postadress"/>
            <w:enabled/>
            <w:calcOnExit w:val="0"/>
            <w:textInput>
              <w:maxLength w:val="40"/>
            </w:textInput>
          </w:ffData>
        </w:fldChar>
      </w:r>
      <w:r>
        <w:rPr/>
        <w:instrText xml:space="preserve"> FORMTEXT </w:instrText>
      </w:r>
      <w:r>
        <w:rPr/>
      </w:r>
      <w:r>
        <w:rPr/>
        <w:fldChar w:fldCharType="separate"/>
      </w:r>
      <w:r>
        <w:rPr/>
        <w:t>     </w:t>
      </w:r>
      <w:r/>
      <w:r>
        <w:rPr/>
        <w:fldChar w:fldCharType="end"/>
      </w:r>
      <w:r>
        <w:rPr/>
      </w:r>
    </w:p>
    <w:p>
      <w:pPr>
        <w:pStyle w:val="Adressen"/>
        <w:rPr/>
      </w:pPr>
      <w:r>
        <w:rPr/>
        <w:tab/>
      </w:r>
      <w:r>
        <w:fldChar w:fldCharType="begin">
          <w:ffData>
            <w:name w:val="Land"/>
            <w:enabled/>
            <w:calcOnExit w:val="0"/>
            <w:textInput>
              <w:maxLength w:val="40"/>
            </w:textInput>
          </w:ffData>
        </w:fldChar>
      </w:r>
      <w:r>
        <w:rPr/>
        <w:instrText xml:space="preserve"> FORMTEXT </w:instrText>
      </w:r>
      <w:r>
        <w:rPr/>
      </w:r>
      <w:r>
        <w:rPr/>
        <w:fldChar w:fldCharType="separate"/>
      </w:r>
      <w:r>
        <w:rPr/>
        <w:t>     </w:t>
      </w:r>
      <w:r/>
      <w:r>
        <w:rPr/>
        <w:fldChar w:fldCharType="end"/>
      </w:r>
      <w:r>
        <w:rPr/>
      </w:r>
    </w:p>
    <w:p>
      <w:pPr>
        <w:pStyle w:val="Adressen"/>
        <w:rPr/>
      </w:pPr>
      <w:r>
        <w:rPr/>
        <w:tab/>
      </w:r>
      <w:r>
        <w:fldChar w:fldCharType="begin">
          <w:ffData>
            <w:name w:val="Extrarad"/>
            <w:enabled/>
            <w:calcOnExit w:val="0"/>
            <w:textInput>
              <w:maxLength w:val="50"/>
            </w:textInput>
          </w:ffData>
        </w:fldChar>
      </w:r>
      <w:r>
        <w:rPr/>
        <w:instrText xml:space="preserve"> FORMTEXT </w:instrText>
      </w:r>
      <w:r>
        <w:rPr/>
      </w:r>
      <w:r>
        <w:rPr/>
        <w:fldChar w:fldCharType="separate"/>
      </w:r>
      <w:r>
        <w:rPr/>
        <w:t>     </w:t>
      </w:r>
      <w:r/>
      <w:r>
        <w:rPr/>
        <w:fldChar w:fldCharType="end"/>
      </w:r>
      <w:r>
        <w:rPr/>
      </w:r>
    </w:p>
    <w:p>
      <w:pPr>
        <w:pStyle w:val="Normal"/>
        <w:spacing w:before="0" w:after="240"/>
        <w:ind w:end="-851"/>
        <w:rPr>
          <w:b/>
        </w:rPr>
      </w:pPr>
      <w:r>
        <w:rPr>
          <w:b/>
        </w:rPr>
        <w:t>CONFORMED COPY</w:t>
      </w:r>
    </w:p>
    <w:p>
      <w:pPr>
        <w:pStyle w:val="Normal"/>
        <w:rPr>
          <w:b/>
        </w:rPr>
      </w:pPr>
      <w:r>
        <w:rPr>
          <w:b/>
        </w:rPr>
      </w:r>
      <w:bookmarkStart w:id="0" w:name="Salut"/>
      <w:bookmarkStart w:id="1" w:name="Salut"/>
      <w:bookmarkEnd w:id="1"/>
    </w:p>
    <w:p>
      <w:pPr>
        <w:pStyle w:val="Normal"/>
        <w:rPr/>
      </w:pPr>
      <w:r>
        <w:rPr/>
      </w:r>
    </w:p>
    <w:p>
      <w:pPr>
        <w:pStyle w:val="Normal"/>
        <w:rPr/>
      </w:pPr>
      <w:r>
        <w:rPr/>
      </w:r>
    </w:p>
    <w:p>
      <w:pPr>
        <w:pStyle w:val="Normal"/>
        <w:rPr/>
      </w:pPr>
      <w:r>
        <w:rPr/>
        <w:t>Dear Sirs,</w:t>
      </w:r>
    </w:p>
    <w:p>
      <w:pPr>
        <w:pStyle w:val="Heading1"/>
        <w:ind w:hanging="0" w:start="0"/>
        <w:rPr/>
      </w:pPr>
      <w:r>
        <w:fldChar w:fldCharType="begin">
          <w:ffData>
            <w:name w:val="Rubrik"/>
            <w:enabled/>
            <w:calcOnExit w:val="0"/>
            <w:textInput/>
          </w:ffData>
        </w:fldChar>
      </w:r>
      <w:r>
        <w:rPr/>
        <w:instrText xml:space="preserve"> FORMTEXT </w:instrText>
      </w:r>
      <w:r>
        <w:rPr/>
      </w:r>
      <w:r>
        <w:rPr/>
        <w:fldChar w:fldCharType="separate"/>
      </w:r>
      <w:r>
        <w:rPr/>
        <w:t>Financial Energy Master Agreement</w:t>
      </w:r>
      <w:r/>
      <w:r>
        <w:rPr/>
        <w:fldChar w:fldCharType="end"/>
      </w:r>
      <w:r>
        <w:rPr/>
      </w:r>
    </w:p>
    <w:p>
      <w:pPr>
        <w:sectPr>
          <w:headerReference w:type="default" r:id="rId2"/>
          <w:headerReference w:type="first" r:id="rId3"/>
          <w:footerReference w:type="default" r:id="rId4"/>
          <w:footerReference w:type="first" r:id="rId5"/>
          <w:type w:val="continuous"/>
          <w:pgSz w:w="11906" w:h="16838"/>
          <w:pgMar w:left="1985" w:right="1985" w:gutter="0" w:header="879" w:top="3402" w:footer="720" w:bottom="1701"/>
          <w:formProt w:val="true"/>
          <w:titlePg/>
          <w:textDirection w:val="lrTb"/>
          <w:docGrid w:type="default" w:linePitch="360" w:charSpace="0"/>
        </w:sectPr>
      </w:pPr>
    </w:p>
    <w:p>
      <w:pPr>
        <w:pStyle w:val="Normal"/>
        <w:rPr>
          <w:sz w:val="22"/>
        </w:rPr>
      </w:pPr>
      <w:r>
        <w:rPr>
          <w:sz w:val="22"/>
        </w:rPr>
      </w:r>
      <w:bookmarkStart w:id="4" w:name="Qstart"/>
      <w:bookmarkStart w:id="5" w:name="Qstart"/>
      <w:bookmarkEnd w:id="5"/>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t>We have been instructed to give an opinion as to the validity and enforceability under the laws of Sweden of the April 2000 version of the Financial Energy Master Agreement, including the related forms of confirmation (collectively, the ‘Agreement’), in the form attached to this opinion.</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t>Terms defined in the Agreement have the same meanings in this opinion.</w:t>
      </w:r>
    </w:p>
    <w:p>
      <w:pPr>
        <w:pStyle w:val="TOC1"/>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sz w:val="24"/>
        </w:rPr>
      </w:pPr>
      <w:r>
        <w:rPr>
          <w:sz w:val="24"/>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t>This opinion is given in respect of parties which are (a) companies incorporated or organised under the laws of Sweden and (b) branches established or located in Sweden of companies incorporated or organised outside Sweden. A company incorporated or organised in Sweden is incorporated or organised under any of the following acts of Parliaments:  the Companies Act 1975 (</w:t>
      </w:r>
      <w:r>
        <w:rPr>
          <w:i/>
        </w:rPr>
        <w:t>Aktiebolagslagen (1975:1385)</w:t>
      </w:r>
      <w:r>
        <w:rPr/>
        <w:t>), the Cooperatives Act 1987 (</w:t>
      </w:r>
      <w:r>
        <w:rPr>
          <w:i/>
        </w:rPr>
        <w:t>Lag om ekonomiska föreningar (1987:667)</w:t>
      </w:r>
      <w:r>
        <w:rPr/>
        <w:t>), the Mutual Assistance Associations Act 1972 (</w:t>
      </w:r>
      <w:r>
        <w:rPr>
          <w:i/>
        </w:rPr>
        <w:t>Lagen (1972:262) om understödsföreningar</w:t>
      </w:r>
      <w:r>
        <w:rPr/>
        <w:t>), the Savings Banks Act 1987 (</w:t>
      </w:r>
      <w:r>
        <w:rPr>
          <w:i/>
        </w:rPr>
        <w:t>Sparbankslagen (1987:619)</w:t>
      </w:r>
      <w:r>
        <w:rPr/>
        <w:t>),</w:t>
      </w:r>
      <w:r>
        <w:rPr>
          <w:sz w:val="26"/>
        </w:rPr>
        <w:t xml:space="preserve"> </w:t>
      </w:r>
      <w:r>
        <w:rPr/>
        <w:t>the Cooperative Banks Act 1995 (</w:t>
      </w:r>
      <w:r>
        <w:rPr>
          <w:i/>
        </w:rPr>
        <w:t>Lagen (1995:1570) om medlemsbanker</w:t>
      </w:r>
      <w:r>
        <w:rPr/>
        <w:t>) or the Insurance Business Act 1982 (</w:t>
      </w:r>
      <w:r>
        <w:rPr>
          <w:i/>
        </w:rPr>
        <w:t>Försäkringsrörelselagen (1982:713)</w:t>
      </w:r>
      <w:r>
        <w:rPr/>
        <w:t>) (in each case as amended).</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t>This opinion is confined to matters of Swedish law and we express no opinion with regard to any system of law other than Swedish law.</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t>We have assumed that: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Brdtextmedindrag3"/>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sz w:val="24"/>
        </w:rPr>
      </w:pPr>
      <w:r>
        <w:rPr>
          <w:sz w:val="24"/>
        </w:rPr>
        <w:t>(a)</w:t>
        <w:tab/>
        <w:t>each party has all requisite capacity and corporate power to execute, deliver and perform its obligations under the Agreement and each party has taken all necessary steps to execute, deliver and perform the Agreement and Transactions carried out under the Agreement;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sz w:val="24"/>
        </w:rPr>
      </w:pPr>
      <w:r>
        <w:rPr>
          <w:sz w:val="24"/>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(b)</w:t>
        <w:tab/>
        <w:t>the Agreement and all Transactions have been duly authorised, executed and delivered by each party in accordance with all applicable laws;</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numPr>
          <w:ilvl w:val="0"/>
          <w:numId w:val="7"/>
        </w:numPr>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the parties over time enter into one or more Swaps, Swaptions and/or Asian Options in which the Fixed Price, in the case of a Swap, and the Strike Price, in the case of an Asian Option, is the price per unit of a commodity, such as electric power, and the Floating Price is the price of the commodity per the same unit on a commodity exchange or an established market place (such as Nord Pool ASA, the Amsterdam Power Exchange, the U.K Electricity Pool) per Calculation Period;</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(d)</w:t>
        <w:tab/>
        <w:t>the parties, for the purpose of Section (8)(a) (Governing Law), have chosen either Danish law, English law, Finnish law, German law, Netherlands law, Norwegian law or Swedish law (each hereinafter the “Governing Law”) to govern the Agreement and all Transactions;</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BodyTextIndent"/>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sz w:val="24"/>
        </w:rPr>
      </w:pPr>
      <w:r>
        <w:rPr>
          <w:sz w:val="24"/>
        </w:rPr>
        <w:t>(e)</w:t>
        <w:tab/>
        <w:t>the Agreement and each Transaction are valid and binding under the Governing Law (if other than Swedish law);</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sz w:val="24"/>
        </w:rPr>
      </w:pPr>
      <w:r>
        <w:rPr>
          <w:sz w:val="24"/>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(f)</w:t>
        <w:tab/>
        <w:t>provisions of the Agreement that we deem crucial to our opinion have not been altered in any material respect;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(g)</w:t>
        <w:tab/>
        <w:t>the Agreement has been entered into for bona fide commercial reasons and on arm’s length terms by each of the parties;</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(h)</w:t>
        <w:tab/>
        <w:t>the Agreement and all Transactions carried out under the Agreement are entered into prior to the formal commencement of insolvency proceedings against either party;</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BodyTextIndent"/>
        <w:numPr>
          <w:ilvl w:val="0"/>
          <w:numId w:val="12"/>
        </w:numPr>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sz w:val="24"/>
        </w:rPr>
      </w:pPr>
      <w:r>
        <w:rPr>
          <w:sz w:val="24"/>
        </w:rPr>
        <w:t xml:space="preserve">at the time at which a Transaction is entered into under the Agreement, neither party has actual or constructive notice of the insolvency of the other party; </w:t>
      </w:r>
    </w:p>
    <w:p>
      <w:pPr>
        <w:pStyle w:val="BodyTextIndent"/>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0" w:start="0" w:end="0"/>
        <w:jc w:val="both"/>
        <w:rPr>
          <w:sz w:val="24"/>
        </w:rPr>
      </w:pPr>
      <w:r>
        <w:rPr>
          <w:sz w:val="24"/>
        </w:rPr>
      </w:r>
    </w:p>
    <w:p>
      <w:pPr>
        <w:pStyle w:val="BodyTextIndent"/>
        <w:numPr>
          <w:ilvl w:val="0"/>
          <w:numId w:val="10"/>
        </w:numPr>
        <w:tabs>
          <w:tab w:val="left" w:pos="567" w:leader="none"/>
          <w:tab w:val="left" w:pos="705"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sz w:val="24"/>
        </w:rPr>
      </w:pPr>
      <w:r>
        <w:rPr>
          <w:sz w:val="24"/>
        </w:rPr>
        <w:t>the Interest Rate(s) specified in the Schedule by the parties will not exceed the maximum lawful rate permitted by applicable law; and</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sz w:val="24"/>
        </w:rPr>
      </w:pPr>
      <w:r>
        <w:rPr>
          <w:sz w:val="24"/>
        </w:rPr>
      </w:r>
    </w:p>
    <w:p>
      <w:pPr>
        <w:pStyle w:val="BodyTextIndent"/>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sz w:val="24"/>
        </w:rPr>
      </w:pPr>
      <w:r>
        <w:rPr>
          <w:sz w:val="24"/>
        </w:rPr>
        <w:t>(k)</w:t>
        <w:tab/>
        <w:t>there exists no other agreement or instrument between the parties governing Transactions which is in conflict with the Agreement.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sz w:val="24"/>
        </w:rPr>
      </w:pPr>
      <w:r>
        <w:rPr>
          <w:sz w:val="24"/>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t>Subject to the above, we are of the opinion that under the laws of the Kingdom of Sweden:</w:t>
      </w:r>
    </w:p>
    <w:p>
      <w:pPr>
        <w:sectPr>
          <w:type w:val="continuous"/>
          <w:pgSz w:w="11906" w:h="16838"/>
          <w:pgMar w:left="1985" w:right="1985" w:gutter="0" w:header="879" w:top="3402" w:footer="720" w:bottom="1701"/>
          <w:formProt w:val="false"/>
          <w:titlePg/>
          <w:textDirection w:val="lrTb"/>
          <w:docGrid w:type="default" w:linePitch="360" w:charSpace="0"/>
        </w:sect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r>
        <w:br w:type="page"/>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b/>
        </w:rPr>
      </w:pPr>
      <w:r>
        <w:rPr>
          <w:b/>
        </w:rPr>
        <w:t>1.</w:t>
        <w:tab/>
        <w:t>Insolvency proceedings</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1.1</w:t>
        <w:tab/>
        <w:t>The only bankruptcy, composition, rehabilitation (e.g. administration, receivership or voluntary arrangement) or other insolvency proceedings to which a party incorporated in or with a branch in Sweden would be subject in Sweden are the following:</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tab/>
        <w:t>(i)</w:t>
        <w:tab/>
        <w:t>bankruptcy or winding-up proceedings pursuant to the Bankrupcty Act 1987 (as amended) (</w:t>
      </w:r>
      <w:r>
        <w:rPr>
          <w:i/>
        </w:rPr>
        <w:t>Konkurslagen (1987:672)</w:t>
      </w:r>
      <w:r>
        <w:rPr/>
        <w:t>) and</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tab/>
        <w:t>(ii)</w:t>
        <w:tab/>
        <w:t>reorganisation proceedings pursuant to the Company Reconstructions Act 1996 (</w:t>
      </w:r>
      <w:r>
        <w:rPr>
          <w:i/>
        </w:rPr>
        <w:t>Lagen (1996:764) om företagsrekonstruktion</w:t>
      </w:r>
      <w:r>
        <w:rPr/>
        <w:t>), with the exception of:</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701" w:start="1701" w:end="0"/>
        <w:jc w:val="both"/>
        <w:rPr/>
      </w:pPr>
      <w:r>
        <w:rPr/>
        <w:tab/>
        <w:tab/>
        <w:t>(a)</w:t>
        <w:tab/>
        <w:t>limited liability companies incorporated under the Companies Act that have been authorised to conduct banking business pursuant to the Banking Business Act 1987 (as amended) (</w:t>
      </w:r>
      <w:r>
        <w:rPr>
          <w:i/>
        </w:rPr>
        <w:t>Bankrörelselagen (1987:617)</w:t>
      </w:r>
      <w:r>
        <w:rPr/>
        <w:t>) (banks),</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701" w:start="1701" w:end="0"/>
        <w:jc w:val="both"/>
        <w:rPr/>
      </w:pPr>
      <w:r>
        <w:rPr/>
        <w:tab/>
        <w:tab/>
        <w:t>(b)</w:t>
        <w:tab/>
        <w:t>savings banks incorporated under the Savings Banks Act,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701" w:start="1701" w:end="0"/>
        <w:jc w:val="both"/>
        <w:rPr/>
      </w:pPr>
      <w:r>
        <w:rPr/>
        <w:tab/>
        <w:tab/>
        <w:t>(c)</w:t>
        <w:tab/>
        <w:t>cooperative banks incorporated under the Cooperative Banks Act,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701" w:start="1701" w:end="0"/>
        <w:jc w:val="both"/>
        <w:rPr/>
      </w:pPr>
      <w:r>
        <w:rPr/>
        <w:tab/>
        <w:tab/>
        <w:t>(d)</w:t>
        <w:tab/>
        <w:t>limited liability companies incorporated under the Companies Act and cooperatives set up under the Cooperatives Act that have been authorised to conduct financing business pursuant to the Financing Business Act 1992 (as amended) (</w:t>
      </w:r>
      <w:r>
        <w:rPr>
          <w:i/>
        </w:rPr>
        <w:t>Lagen (1992:1610) om finansieringsverksamhet</w:t>
      </w:r>
      <w:r>
        <w:rPr/>
        <w: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701" w:start="1701" w:end="0"/>
        <w:jc w:val="both"/>
        <w:rPr/>
      </w:pPr>
      <w:r>
        <w:rPr/>
        <w:tab/>
        <w:tab/>
        <w:t>(e)</w:t>
        <w:tab/>
        <w:t>mutual assistance associations set up pursuant to Mutual Assistance Associations Act,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701" w:start="1701" w:end="0"/>
        <w:jc w:val="both"/>
        <w:rPr/>
      </w:pPr>
      <w:r>
        <w:rPr/>
        <w:tab/>
        <w:tab/>
        <w:t>(f)</w:t>
        <w:tab/>
        <w:t>insurance companies incorporated under the Insurance Business Act,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701" w:start="1701" w:end="0"/>
        <w:jc w:val="both"/>
        <w:rPr/>
      </w:pPr>
      <w:r>
        <w:rPr/>
        <w:tab/>
        <w:tab/>
        <w:t>(g)</w:t>
        <w:tab/>
        <w:t>limited liability companies incorporated under the Companies Act that have been authorised to conduct investment business pursuant to the Investment Business Act 1991 (as amended) (</w:t>
      </w:r>
      <w:r>
        <w:rPr>
          <w:i/>
        </w:rPr>
        <w:t>Lagen (1991:981) om värdepappersrörelse</w:t>
      </w:r>
      <w:r>
        <w:rPr/>
        <w: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701" w:start="1701" w:end="0"/>
        <w:jc w:val="both"/>
        <w:rPr/>
      </w:pPr>
      <w:r>
        <w:rPr/>
        <w:tab/>
        <w:tab/>
        <w:t>(h)</w:t>
        <w:tab/>
        <w:t>clearing organisations authorised pursuant to the Exchanges and Clearing Organisations Act 1992 (as amended) (</w:t>
      </w:r>
      <w:r>
        <w:rPr>
          <w:i/>
        </w:rPr>
        <w:t>Lagen (1992:543) om börs- och clearingverksamhet</w:t>
      </w:r>
      <w:r>
        <w:rPr/>
        <w:t>), and</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701" w:start="1701" w:end="0"/>
        <w:jc w:val="both"/>
        <w:rPr/>
      </w:pPr>
      <w:r>
        <w:rPr/>
        <w:tab/>
        <w:tab/>
        <w:t>(i)</w:t>
        <w:tab/>
        <w:t>central depositories authorised pursuant to the Financial Instruments Accounts Keeping Act 1998 (</w:t>
      </w:r>
      <w:r>
        <w:rPr>
          <w:i/>
        </w:rPr>
        <w:t>Lagen (1998:1479) om kontoföring av finansiella instrument</w:t>
      </w:r>
      <w:r>
        <w:rPr/>
        <w: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tab/>
        <w:t>(hereinafter collectively the ‘Insolvency Proceedings’).</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1.2</w:t>
        <w:tab/>
        <w:t>We confirm that all of the Insolvency Proceedings would be adequately covered by the definition of Insolvency Event in the Agreement.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720" w:start="720" w:end="0"/>
        <w:jc w:val="both"/>
        <w:rPr/>
      </w:pPr>
      <w:r>
        <w:rPr/>
      </w:r>
      <w:r>
        <w:br w:type="page"/>
      </w:r>
    </w:p>
    <w:p>
      <w:pPr>
        <w:pStyle w:val="Normal"/>
        <w:tabs>
          <w:tab w:val="clear" w:pos="964"/>
          <w:tab w:val="left" w:pos="567" w:leader="none"/>
          <w:tab w:val="left" w:pos="709"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b/>
        </w:rPr>
      </w:pPr>
      <w:r>
        <w:rPr>
          <w:b/>
        </w:rPr>
        <w:t>2.</w:t>
        <w:tab/>
        <w:t>Validity of the Agreement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2.1</w:t>
        <w:tab/>
        <w:t>The Agreement will be effective under the laws of Sweden and will take effect in accordance with its terms where one or both of the parties is a company incorporated in Sweden or is incorporated outside Sweden but has a branch located in Sweden.</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numPr>
          <w:ilvl w:val="1"/>
          <w:numId w:val="9"/>
        </w:numPr>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A court in Sweden would uphold the parties’ choice of Governing Law and, if relevant, the irrevocable submission by the parties pursuant to Section 8(b) (Jurisdiction) to:</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tab/>
        <w:t>(i)</w:t>
        <w:tab/>
        <w:t>the courts of Denmark, provided that the Agreement and all Transactions are governed by Danish law;</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tab/>
        <w:t>(ii)</w:t>
        <w:tab/>
        <w:t>the courts of England, provided that the Agreement and all Transactions are governed by English law;</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tab/>
        <w:t>(iii)</w:t>
        <w:tab/>
        <w:t>the courts of Finland, provided that the Agreement and all Transactions are governed by Finnish law;</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tab/>
        <w:t>(iv)</w:t>
        <w:tab/>
        <w:t>the courts of Germany, provided that the Agreement and all Transactions are governed by German law;</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tab/>
        <w:t>(v)</w:t>
        <w:tab/>
        <w:t>the courts of The Netherlands, provided that the Agreement and all Transactions are governed by Netherlands law;</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tab/>
        <w:t>(vi)</w:t>
        <w:tab/>
        <w:t>the courts of Norway, provided that the Agreement and all Transactions are governed by Norwegian law; and</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tab/>
        <w:t>(vii)</w:t>
        <w:tab/>
        <w:t>the courts of Sweden, provided that the Agreement and all Transactions are governed by Swedish law.</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2.3</w:t>
        <w:tab/>
        <w:t>Any selections contemplated in, or made pursuant to, the Schedule would not constitute material alterations of provisions of the Agreement which we deem crucial to our opinion as referred to in our assumption (f) above.</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keepNext w:val="true"/>
        <w:keepLines/>
        <w:tabs>
          <w:tab w:val="clear" w:pos="964"/>
          <w:tab w:val="left" w:pos="567" w:leader="none"/>
          <w:tab w:val="left" w:pos="709"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b/>
        </w:rPr>
      </w:pPr>
      <w:r>
        <w:rPr>
          <w:b/>
        </w:rPr>
        <w:t>3.</w:t>
        <w:tab/>
        <w:t>Netting provisions</w:t>
      </w:r>
    </w:p>
    <w:p>
      <w:pPr>
        <w:pStyle w:val="Normal"/>
        <w:keepNext w:val="true"/>
        <w:keepLines/>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keepNext w:val="true"/>
        <w:keepLines/>
        <w:numPr>
          <w:ilvl w:val="1"/>
          <w:numId w:val="11"/>
        </w:numPr>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The central provisions of the Agreement which provide for close-out netting following an Event of Default are contained in Section 6 (Remedies).</w:t>
      </w:r>
    </w:p>
    <w:p>
      <w:pPr>
        <w:pStyle w:val="Normal"/>
        <w:keepNext w:val="true"/>
        <w:keepLines/>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BodyTextIndent"/>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sz w:val="24"/>
        </w:rPr>
        <w:t>3.2</w:t>
        <w:tab/>
        <w:t>If an Event of Default has occurred, either because of an Insolvency Event in respect of a party incorporated in or with a branch in Sweden or following any other default by that party under the Agreement, the close-out netting provisions of Section 6 (Remedies) would be effective and enforceable.  However, pursuant to the Swedish Contracts Act 1915 (as amended) (</w:t>
      </w:r>
      <w:r>
        <w:rPr>
          <w:i/>
          <w:sz w:val="24"/>
        </w:rPr>
        <w:t>Avtalslagen (1915:218)</w:t>
      </w:r>
      <w:r>
        <w:rPr>
          <w:sz w:val="24"/>
        </w:rPr>
        <w:t>) and general equitable principles of the law of contract and obligations, a contract term may be modified or set aside if it is adjudged by a competent court to be unreason</w:t>
        <w:softHyphen/>
        <w:t>able. Contracts or contractual terms which are unilateral or that set out provisions which are markedly one-sided in comparison to the provisions of non-mandatory Swedish law are particularly susceptible to equitable revision by the courts. We are therefore of the opinion that the provisions of Section 6 (Remedies) of the Agreement would be less likely to be revised by the courts if the Non-defaulting Party had to pay any net amount owed by it to the Defaulting Party pursuant to that Section irrespective of whether the Early Termination Date has been designated or occurred by reason of an Insolvency Event. However, we are also of the opinion that it is highly unlikely that a court would undertake such a revision into Section 6 (Remedies) where two institutions – either two commodity derivatives dealers, a commodity derivatives dealer and a sophisticated end-user of commodity derivatives, or two sophisticated end-users of commodity derivatives – have entered into the Agreement.</w:t>
      </w:r>
    </w:p>
    <w:p>
      <w:pPr>
        <w:pStyle w:val="Normal"/>
        <w:tabs>
          <w:tab w:val="clear" w:pos="964"/>
          <w:tab w:val="left" w:pos="567" w:leader="none"/>
          <w:tab w:val="left" w:pos="709"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sz w:val="24"/>
        </w:rPr>
      </w:pPr>
      <w:r>
        <w:rPr>
          <w:sz w:val="24"/>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3.3</w:t>
        <w:tab/>
        <w:t>The provisions of Section 6 (Remedies) would be enforceable in all Insolvency Proceedings.</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3.4</w:t>
        <w:tab/>
        <w:t>There is no necessity for the close-out netting effected under Section 6 (Remedies) to be reflected in the records of the parties for it to be effective.</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3.5</w:t>
        <w:tab/>
        <w:t>Under the laws of Sweden it is not necessary for the efficacy of Section 6 (Remedies) that all Transactions should be treated as a single agreement.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3.6</w:t>
        <w:tab/>
        <w:t>The use of the Agreement with branches of a party in a number of jurisdictions, including one where the legal basis for close-out netting is not clear, would not jeopardise the validity of Section 6 (Remedies) in respect of a party incorporated or organised in or with a branch in Sweden.</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3.7</w:t>
        <w:tab/>
        <w:t>The provisions of Section 6 (Remedies) would be enforceable in the Kingdom of Sweden notwithstanding that actions may be taken by insolvency officials in other jurisdictions.</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numPr>
          <w:ilvl w:val="1"/>
          <w:numId w:val="4"/>
        </w:numPr>
        <w:tabs>
          <w:tab w:val="clear" w:pos="964"/>
          <w:tab w:val="left" w:pos="709"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t>The discretion and flexibility given to the parties pursuant to Section 6 (Remedies) to select Automatic Early Termination do not affect the validity of the close-out provisions of that Section.  We do not consider that the provisions of that Section would be more likely to be upheld if Automatic Early Termination applied.</w:t>
      </w:r>
    </w:p>
    <w:p>
      <w:pPr>
        <w:pStyle w:val="Normal"/>
        <w:tabs>
          <w:tab w:val="clear" w:pos="964"/>
          <w:tab w:val="left" w:pos="567" w:leader="none"/>
          <w:tab w:val="left" w:pos="709"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709"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418" w:start="1418" w:end="0"/>
        <w:jc w:val="both"/>
        <w:rPr/>
      </w:pPr>
      <w:r>
        <w:rPr/>
        <w:t>3.9</w:t>
        <w:tab/>
        <w:t>On the assumption that:</w:t>
      </w:r>
    </w:p>
    <w:p>
      <w:pPr>
        <w:pStyle w:val="Normal"/>
        <w:tabs>
          <w:tab w:val="clear" w:pos="964"/>
          <w:tab w:val="left" w:pos="567" w:leader="none"/>
          <w:tab w:val="left" w:pos="709"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418" w:start="1418" w:end="0"/>
        <w:jc w:val="both"/>
        <w:rPr/>
      </w:pPr>
      <w:r>
        <w:rPr/>
      </w:r>
    </w:p>
    <w:p>
      <w:pPr>
        <w:pStyle w:val="Normal"/>
        <w:tabs>
          <w:tab w:val="clear" w:pos="964"/>
          <w:tab w:val="left" w:pos="567" w:leader="none"/>
          <w:tab w:val="left" w:pos="709" w:leader="none"/>
          <w:tab w:val="left" w:pos="1134" w:leader="none"/>
          <w:tab w:val="left" w:pos="1418"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134" w:start="1134" w:end="0"/>
        <w:jc w:val="both"/>
        <w:rPr/>
      </w:pPr>
      <w:r>
        <w:rPr/>
        <w:tab/>
        <w:t>(a)</w:t>
        <w:tab/>
        <w:t>under the Governing Law (if other than Swedish law) the unenforceability or illegality of any other provision of the Agreement would not undermine the efficacy of Section 6 (Remedies), the unenforceability or illegality of any other provision of the Agreement would not undermine the efficacy of that Section under Swedish law; and</w:t>
      </w:r>
    </w:p>
    <w:p>
      <w:pPr>
        <w:pStyle w:val="Normal"/>
        <w:tabs>
          <w:tab w:val="clear" w:pos="964"/>
          <w:tab w:val="left" w:pos="567" w:leader="none"/>
          <w:tab w:val="left" w:pos="709"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1418" w:start="1418" w:end="0"/>
        <w:jc w:val="both"/>
        <w:rPr/>
      </w:pPr>
      <w:r>
        <w:rPr/>
      </w:r>
    </w:p>
    <w:p>
      <w:pPr>
        <w:pStyle w:val="Normal"/>
        <w:numPr>
          <w:ilvl w:val="0"/>
          <w:numId w:val="5"/>
        </w:numPr>
        <w:tabs>
          <w:tab w:val="clear" w:pos="964"/>
          <w:tab w:val="left" w:pos="567" w:leader="none"/>
          <w:tab w:val="left" w:pos="709"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t>the Governing Law is Swedish law, the unenforceability or illegality of any  provisions other than those contained in Section 6 (Remedies) would not undermine the efficacy of that Section under Swedish law.</w:t>
      </w:r>
    </w:p>
    <w:p>
      <w:pPr>
        <w:pStyle w:val="BodyTextIndent"/>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sz w:val="24"/>
        </w:rPr>
      </w:pPr>
      <w:r>
        <w:rPr>
          <w:sz w:val="24"/>
        </w:rPr>
      </w:r>
    </w:p>
    <w:p>
      <w:pPr>
        <w:pStyle w:val="BodyTextIndent"/>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sz w:val="24"/>
        </w:rPr>
      </w:pPr>
      <w:r>
        <w:rPr>
          <w:sz w:val="24"/>
        </w:rPr>
        <w:t>3.10</w:t>
        <w:tab/>
        <w:t>In the event that the parties have selected a Termination Currency other than the currency of Sweden, the conversion of any cash payment obligation into the Termination Currency under the Agreement would be valid and enforceable under the laws of Sweden and such a provision is not inconsistent with public policy as applied by the courts of Sweden.</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sz w:val="24"/>
        </w:rPr>
      </w:pPr>
      <w:r>
        <w:rPr>
          <w:sz w:val="24"/>
        </w:rPr>
      </w:r>
    </w:p>
    <w:p>
      <w:pPr>
        <w:pStyle w:val="Normal"/>
        <w:tabs>
          <w:tab w:val="clear" w:pos="964"/>
          <w:tab w:val="left" w:pos="567" w:leader="none"/>
          <w:tab w:val="left" w:pos="709"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b/>
        </w:rPr>
      </w:pPr>
      <w:r>
        <w:rPr>
          <w:b/>
        </w:rPr>
        <w:t>4.</w:t>
        <w:tab/>
        <w:t>Other matters</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4.1</w:t>
        <w:tab/>
        <w:t>The Agreement may be used by any party with any other party wherever either is incorporated.  However, this opinion relates only to companies incorporated or organised in Sweden or branches of a party incorporated or organised outside Sweden located or established in Sweden.</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hanging="567" w:start="567" w:end="0"/>
        <w:jc w:val="both"/>
        <w:rPr/>
      </w:pPr>
      <w:r>
        <w:rPr/>
        <w:t>4.2</w:t>
        <w:tab/>
        <w:t>We have no reason to believe that the Agreement would be unenforceable because of the law of any other jurisdiction.</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0" w:leader="none"/>
          <w:tab w:val="left" w:pos="567" w:leader="none"/>
          <w:tab w:val="left" w:pos="1134" w:leader="none"/>
          <w:tab w:val="left" w:pos="2592" w:leader="none"/>
          <w:tab w:val="left" w:pos="3888" w:leader="none"/>
          <w:tab w:val="left" w:pos="5184" w:leader="none"/>
          <w:tab w:val="left" w:pos="6480" w:leader="none"/>
          <w:tab w:val="left" w:pos="7776" w:leader="none"/>
          <w:tab w:val="left" w:pos="9072" w:leader="none"/>
          <w:tab w:val="left" w:pos="10368" w:leader="none"/>
          <w:tab w:val="left" w:pos="11664" w:leader="none"/>
          <w:tab w:val="left" w:pos="12960" w:leader="none"/>
          <w:tab w:val="left" w:pos="14256" w:leader="none"/>
          <w:tab w:val="left" w:pos="15552" w:leader="none"/>
          <w:tab w:val="left" w:pos="16848" w:leader="none"/>
          <w:tab w:val="left" w:pos="18144" w:leader="none"/>
          <w:tab w:val="left" w:pos="19440" w:leader="none"/>
          <w:tab w:val="left" w:pos="20736" w:leader="none"/>
          <w:tab w:val="left" w:pos="22032" w:leader="none"/>
          <w:tab w:val="left" w:pos="23328" w:leader="none"/>
        </w:tabs>
        <w:suppressAutoHyphens w:val="true"/>
        <w:jc w:val="both"/>
        <w:rPr/>
      </w:pPr>
      <w:r>
        <w:rPr/>
        <w:tab/>
        <w:t>The qualifications to which this opinion is subject are as follows:</w:t>
      </w:r>
    </w:p>
    <w:p>
      <w:pPr>
        <w:pStyle w:val="Normal"/>
        <w:tabs>
          <w:tab w:val="clear" w:pos="964"/>
          <w:tab w:val="left" w:pos="0" w:leader="none"/>
          <w:tab w:val="left" w:pos="567" w:leader="none"/>
          <w:tab w:val="left" w:pos="1134" w:leader="none"/>
          <w:tab w:val="left" w:pos="2592" w:leader="none"/>
          <w:tab w:val="left" w:pos="3888" w:leader="none"/>
          <w:tab w:val="left" w:pos="5184" w:leader="none"/>
          <w:tab w:val="left" w:pos="6480" w:leader="none"/>
          <w:tab w:val="left" w:pos="7776" w:leader="none"/>
          <w:tab w:val="left" w:pos="9072" w:leader="none"/>
          <w:tab w:val="left" w:pos="10368" w:leader="none"/>
          <w:tab w:val="left" w:pos="11664" w:leader="none"/>
          <w:tab w:val="left" w:pos="12960" w:leader="none"/>
          <w:tab w:val="left" w:pos="14256" w:leader="none"/>
          <w:tab w:val="left" w:pos="15552" w:leader="none"/>
          <w:tab w:val="left" w:pos="16848" w:leader="none"/>
          <w:tab w:val="left" w:pos="18144" w:leader="none"/>
          <w:tab w:val="left" w:pos="19440" w:leader="none"/>
          <w:tab w:val="left" w:pos="20736" w:leader="none"/>
          <w:tab w:val="left" w:pos="22032" w:leader="none"/>
          <w:tab w:val="left" w:pos="23328" w:leader="none"/>
        </w:tabs>
        <w:suppressAutoHyphens w:val="true"/>
        <w:jc w:val="both"/>
        <w:rPr/>
      </w:pPr>
      <w:r>
        <w:rPr/>
      </w:r>
    </w:p>
    <w:p>
      <w:pPr>
        <w:pStyle w:val="Normal"/>
        <w:tabs>
          <w:tab w:val="clear" w:pos="964"/>
          <w:tab w:val="left" w:pos="0" w:leader="none"/>
          <w:tab w:val="left" w:pos="567" w:leader="none"/>
          <w:tab w:val="left" w:pos="1134" w:leader="none"/>
          <w:tab w:val="left" w:pos="2592" w:leader="none"/>
          <w:tab w:val="left" w:pos="3888" w:leader="none"/>
          <w:tab w:val="left" w:pos="5184" w:leader="none"/>
          <w:tab w:val="left" w:pos="6480" w:leader="none"/>
          <w:tab w:val="left" w:pos="7776" w:leader="none"/>
          <w:tab w:val="left" w:pos="9072" w:leader="none"/>
          <w:tab w:val="left" w:pos="10368" w:leader="none"/>
          <w:tab w:val="left" w:pos="11664" w:leader="none"/>
          <w:tab w:val="left" w:pos="12960" w:leader="none"/>
          <w:tab w:val="left" w:pos="14256" w:leader="none"/>
          <w:tab w:val="left" w:pos="15552" w:leader="none"/>
          <w:tab w:val="left" w:pos="16848" w:leader="none"/>
          <w:tab w:val="left" w:pos="18144" w:leader="none"/>
          <w:tab w:val="left" w:pos="19440" w:leader="none"/>
          <w:tab w:val="left" w:pos="20736" w:leader="none"/>
          <w:tab w:val="left" w:pos="22032" w:leader="none"/>
          <w:tab w:val="left" w:pos="23328" w:leader="none"/>
        </w:tabs>
        <w:suppressAutoHyphens w:val="true"/>
        <w:ind w:hanging="1134" w:start="1134" w:end="0"/>
        <w:jc w:val="both"/>
        <w:rPr/>
      </w:pPr>
      <w:r>
        <w:rPr/>
        <w:tab/>
        <w:t>(i)</w:t>
        <w:tab/>
        <w:t>The right to recover damages for breach of contract or in delict or tort may be limited to the extent the aggrieved party could have avoided or mitigated damages by reasonable efforts;</w:t>
      </w:r>
    </w:p>
    <w:p>
      <w:pPr>
        <w:pStyle w:val="Normal"/>
        <w:tabs>
          <w:tab w:val="clear" w:pos="964"/>
          <w:tab w:val="left" w:pos="0" w:leader="none"/>
          <w:tab w:val="left" w:pos="567" w:leader="none"/>
          <w:tab w:val="left" w:pos="1134" w:leader="none"/>
          <w:tab w:val="left" w:pos="2592" w:leader="none"/>
          <w:tab w:val="left" w:pos="3888" w:leader="none"/>
          <w:tab w:val="left" w:pos="5184" w:leader="none"/>
          <w:tab w:val="left" w:pos="6480" w:leader="none"/>
          <w:tab w:val="left" w:pos="7776" w:leader="none"/>
          <w:tab w:val="left" w:pos="9072" w:leader="none"/>
          <w:tab w:val="left" w:pos="10368" w:leader="none"/>
          <w:tab w:val="left" w:pos="11664" w:leader="none"/>
          <w:tab w:val="left" w:pos="12960" w:leader="none"/>
          <w:tab w:val="left" w:pos="14256" w:leader="none"/>
          <w:tab w:val="left" w:pos="15552" w:leader="none"/>
          <w:tab w:val="left" w:pos="16848" w:leader="none"/>
          <w:tab w:val="left" w:pos="18144" w:leader="none"/>
          <w:tab w:val="left" w:pos="19440" w:leader="none"/>
          <w:tab w:val="left" w:pos="20736" w:leader="none"/>
          <w:tab w:val="left" w:pos="22032" w:leader="none"/>
          <w:tab w:val="left" w:pos="23328" w:leader="none"/>
        </w:tabs>
        <w:suppressAutoHyphens w:val="true"/>
        <w:jc w:val="both"/>
        <w:rPr/>
      </w:pPr>
      <w:r>
        <w:rPr/>
      </w:r>
    </w:p>
    <w:p>
      <w:pPr>
        <w:pStyle w:val="Normal"/>
        <w:tabs>
          <w:tab w:val="clear" w:pos="964"/>
          <w:tab w:val="left" w:pos="0" w:leader="none"/>
          <w:tab w:val="left" w:pos="567" w:leader="none"/>
          <w:tab w:val="left" w:pos="1134" w:leader="none"/>
          <w:tab w:val="left" w:pos="2592" w:leader="none"/>
          <w:tab w:val="left" w:pos="3888" w:leader="none"/>
          <w:tab w:val="left" w:pos="5184" w:leader="none"/>
          <w:tab w:val="left" w:pos="6480" w:leader="none"/>
          <w:tab w:val="left" w:pos="7776" w:leader="none"/>
          <w:tab w:val="left" w:pos="9072" w:leader="none"/>
          <w:tab w:val="left" w:pos="10368" w:leader="none"/>
          <w:tab w:val="left" w:pos="11664" w:leader="none"/>
          <w:tab w:val="left" w:pos="12960" w:leader="none"/>
          <w:tab w:val="left" w:pos="14256" w:leader="none"/>
          <w:tab w:val="left" w:pos="15552" w:leader="none"/>
          <w:tab w:val="left" w:pos="16848" w:leader="none"/>
          <w:tab w:val="left" w:pos="18144" w:leader="none"/>
          <w:tab w:val="left" w:pos="19440" w:leader="none"/>
          <w:tab w:val="left" w:pos="20736" w:leader="none"/>
          <w:tab w:val="left" w:pos="22032" w:leader="none"/>
          <w:tab w:val="left" w:pos="23328" w:leader="none"/>
        </w:tabs>
        <w:suppressAutoHyphens w:val="true"/>
        <w:ind w:hanging="1134" w:start="1134" w:end="0"/>
        <w:jc w:val="both"/>
        <w:rPr/>
      </w:pPr>
      <w:r>
        <w:rPr/>
        <w:tab/>
        <w:t>(ii)</w:t>
        <w:tab/>
        <w:t>Without prejudice to our opinion expressed in Opinions 3.2 – 3.10, the enforcement of any agreement, guarantee or instrument may be limited by bankruptcy, insolvency, liquidation, reorganisa</w:t>
        <w:softHyphen/>
        <w:t>tion, limitation, moratorium and other laws of general applica</w:t>
        <w:softHyphen/>
        <w:t>tion regarding or affecting the rights of creditors gene</w:t>
        <w:softHyphen/>
        <w:t xml:space="preserve">rally and general equitable principles; </w:t>
      </w:r>
    </w:p>
    <w:p>
      <w:pPr>
        <w:pStyle w:val="Normal"/>
        <w:tabs>
          <w:tab w:val="clear" w:pos="964"/>
          <w:tab w:val="left" w:pos="0" w:leader="none"/>
          <w:tab w:val="left" w:pos="567" w:leader="none"/>
          <w:tab w:val="left" w:pos="1134" w:leader="none"/>
          <w:tab w:val="left" w:pos="2592" w:leader="none"/>
          <w:tab w:val="left" w:pos="3888" w:leader="none"/>
          <w:tab w:val="left" w:pos="5184" w:leader="none"/>
          <w:tab w:val="left" w:pos="6480" w:leader="none"/>
          <w:tab w:val="left" w:pos="7776" w:leader="none"/>
          <w:tab w:val="left" w:pos="9072" w:leader="none"/>
          <w:tab w:val="left" w:pos="10368" w:leader="none"/>
          <w:tab w:val="left" w:pos="11664" w:leader="none"/>
          <w:tab w:val="left" w:pos="12960" w:leader="none"/>
          <w:tab w:val="left" w:pos="14256" w:leader="none"/>
          <w:tab w:val="left" w:pos="15552" w:leader="none"/>
          <w:tab w:val="left" w:pos="16848" w:leader="none"/>
          <w:tab w:val="left" w:pos="18144" w:leader="none"/>
          <w:tab w:val="left" w:pos="19440" w:leader="none"/>
          <w:tab w:val="left" w:pos="20736" w:leader="none"/>
          <w:tab w:val="left" w:pos="22032" w:leader="none"/>
          <w:tab w:val="left" w:pos="23328" w:leader="none"/>
        </w:tabs>
        <w:suppressAutoHyphens w:val="true"/>
        <w:ind w:hanging="566" w:start="566" w:end="0"/>
        <w:jc w:val="both"/>
        <w:rPr/>
      </w:pPr>
      <w:r>
        <w:rPr/>
      </w:r>
    </w:p>
    <w:p>
      <w:pPr>
        <w:pStyle w:val="Normal"/>
        <w:tabs>
          <w:tab w:val="clear" w:pos="964"/>
          <w:tab w:val="left" w:pos="0" w:leader="none"/>
          <w:tab w:val="left" w:pos="567" w:leader="none"/>
          <w:tab w:val="left" w:pos="1134" w:leader="none"/>
          <w:tab w:val="left" w:pos="2592" w:leader="none"/>
          <w:tab w:val="left" w:pos="3888" w:leader="none"/>
          <w:tab w:val="left" w:pos="5184" w:leader="none"/>
          <w:tab w:val="left" w:pos="6480" w:leader="none"/>
          <w:tab w:val="left" w:pos="7776" w:leader="none"/>
          <w:tab w:val="left" w:pos="9072" w:leader="none"/>
          <w:tab w:val="left" w:pos="10368" w:leader="none"/>
          <w:tab w:val="left" w:pos="11664" w:leader="none"/>
          <w:tab w:val="left" w:pos="12960" w:leader="none"/>
          <w:tab w:val="left" w:pos="14256" w:leader="none"/>
          <w:tab w:val="left" w:pos="15552" w:leader="none"/>
          <w:tab w:val="left" w:pos="16848" w:leader="none"/>
          <w:tab w:val="left" w:pos="18144" w:leader="none"/>
          <w:tab w:val="left" w:pos="19440" w:leader="none"/>
          <w:tab w:val="left" w:pos="20736" w:leader="none"/>
          <w:tab w:val="left" w:pos="22032" w:leader="none"/>
          <w:tab w:val="left" w:pos="23328" w:leader="none"/>
        </w:tabs>
        <w:suppressAutoHyphens w:val="true"/>
        <w:ind w:hanging="1134" w:start="1134" w:end="0"/>
        <w:jc w:val="both"/>
        <w:rPr/>
      </w:pPr>
      <w:r>
        <w:rPr/>
        <w:tab/>
        <w:t>(iii)</w:t>
        <w:tab/>
        <w:t>The availability in Swedish courts or from arbi</w:t>
        <w:softHyphen/>
        <w:t>tral tribunals of certain remedies, such as injunction and specific perform</w:t>
        <w:softHyphen/>
        <w:t>ance, may be restric</w:t>
        <w:softHyphen/>
        <w:t>ted under Swedish law, and are at the discretion of the courts or arbi</w:t>
        <w:softHyphen/>
        <w:t>tra</w:t>
        <w:softHyphen/>
        <w:t>l tribunals and Swedish courts or arbitral tribunals may award judgments or give awards in curren</w:t>
        <w:softHyphen/>
        <w:t>cies other than the local currency but the judgment debtor has the right under Swedish law to pay the judgment debt, even though denominated in a foreign currency, in the local currency at the rate of exchange prevailing at the date of payment (however, the judgment creditor may, subject to availability of the foreign currency, convert such local currency into the foreign currency after payment and remove such foreign currency</w:t>
        <w:softHyphen/>
        <w:t xml:space="preserve"> from the Kingdom of Sweden);</w:t>
      </w:r>
    </w:p>
    <w:p>
      <w:pPr>
        <w:pStyle w:val="Normal"/>
        <w:tabs>
          <w:tab w:val="clear" w:pos="964"/>
          <w:tab w:val="left" w:pos="0" w:leader="none"/>
          <w:tab w:val="left" w:pos="567" w:leader="none"/>
          <w:tab w:val="left" w:pos="1134" w:leader="none"/>
          <w:tab w:val="left" w:pos="2592" w:leader="none"/>
          <w:tab w:val="left" w:pos="3888" w:leader="none"/>
          <w:tab w:val="left" w:pos="5184" w:leader="none"/>
          <w:tab w:val="left" w:pos="6480" w:leader="none"/>
          <w:tab w:val="left" w:pos="7776" w:leader="none"/>
          <w:tab w:val="left" w:pos="9072" w:leader="none"/>
          <w:tab w:val="left" w:pos="10368" w:leader="none"/>
          <w:tab w:val="left" w:pos="11664" w:leader="none"/>
          <w:tab w:val="left" w:pos="12960" w:leader="none"/>
          <w:tab w:val="left" w:pos="14256" w:leader="none"/>
          <w:tab w:val="left" w:pos="15552" w:leader="none"/>
          <w:tab w:val="left" w:pos="16848" w:leader="none"/>
          <w:tab w:val="left" w:pos="18144" w:leader="none"/>
          <w:tab w:val="left" w:pos="19440" w:leader="none"/>
          <w:tab w:val="left" w:pos="20736" w:leader="none"/>
          <w:tab w:val="left" w:pos="22032" w:leader="none"/>
          <w:tab w:val="left" w:pos="23328" w:leader="none"/>
        </w:tabs>
        <w:suppressAutoHyphens w:val="true"/>
        <w:jc w:val="both"/>
        <w:rPr/>
      </w:pPr>
      <w:r>
        <w:rPr/>
      </w:r>
    </w:p>
    <w:p>
      <w:pPr>
        <w:pStyle w:val="Normal"/>
        <w:tabs>
          <w:tab w:val="clear" w:pos="964"/>
          <w:tab w:val="left" w:pos="0" w:leader="none"/>
          <w:tab w:val="left" w:pos="567" w:leader="none"/>
          <w:tab w:val="left" w:pos="1134" w:leader="none"/>
          <w:tab w:val="left" w:pos="2592" w:leader="none"/>
          <w:tab w:val="left" w:pos="3888" w:leader="none"/>
          <w:tab w:val="left" w:pos="5184" w:leader="none"/>
          <w:tab w:val="left" w:pos="6480" w:leader="none"/>
          <w:tab w:val="left" w:pos="7776" w:leader="none"/>
          <w:tab w:val="left" w:pos="9072" w:leader="none"/>
          <w:tab w:val="left" w:pos="10368" w:leader="none"/>
          <w:tab w:val="left" w:pos="11664" w:leader="none"/>
          <w:tab w:val="left" w:pos="12960" w:leader="none"/>
          <w:tab w:val="left" w:pos="14256" w:leader="none"/>
          <w:tab w:val="left" w:pos="15552" w:leader="none"/>
          <w:tab w:val="left" w:pos="16848" w:leader="none"/>
          <w:tab w:val="left" w:pos="18144" w:leader="none"/>
          <w:tab w:val="left" w:pos="19440" w:leader="none"/>
          <w:tab w:val="left" w:pos="20736" w:leader="none"/>
          <w:tab w:val="left" w:pos="22032" w:leader="none"/>
          <w:tab w:val="left" w:pos="23328" w:leader="none"/>
        </w:tabs>
        <w:suppressAutoHyphens w:val="true"/>
        <w:ind w:hanging="1134" w:start="1134" w:end="0"/>
        <w:jc w:val="both"/>
        <w:rPr/>
      </w:pPr>
      <w:r>
        <w:rPr/>
        <w:tab/>
        <w:t>(iv)</w:t>
        <w:tab/>
        <w:t>The recognition of the laws of jurisdictions other than the Kingdom of Sweden by Swedish courts or enforcement authorities does not include those laws which such courts or authorities consider (i) to be procedural in nature, (ii) to be revenue or penal laws, (iii) to involve the exercise of sovereign powers or powers of public or administrative law, (iv) the application of which would (A) amount to an attempt to circumvent Swedish conflict of laws rules, (B) lead to or entail a contravention of mandatory Swedish law, or (C) be inconsistent with public policy, as such term is interpreted under Swedish law; and such courts or authorities may require proof of the relevant provisions of those laws;</w:t>
      </w:r>
    </w:p>
    <w:p>
      <w:pPr>
        <w:pStyle w:val="Normal"/>
        <w:tabs>
          <w:tab w:val="clear" w:pos="964"/>
          <w:tab w:val="left" w:pos="0" w:leader="none"/>
          <w:tab w:val="left" w:pos="567" w:leader="none"/>
          <w:tab w:val="left" w:pos="1134" w:leader="none"/>
          <w:tab w:val="left" w:pos="2592" w:leader="none"/>
          <w:tab w:val="left" w:pos="3888" w:leader="none"/>
          <w:tab w:val="left" w:pos="5184" w:leader="none"/>
          <w:tab w:val="left" w:pos="6480" w:leader="none"/>
          <w:tab w:val="left" w:pos="7776" w:leader="none"/>
          <w:tab w:val="left" w:pos="9072" w:leader="none"/>
          <w:tab w:val="left" w:pos="10368" w:leader="none"/>
          <w:tab w:val="left" w:pos="11664" w:leader="none"/>
          <w:tab w:val="left" w:pos="12960" w:leader="none"/>
          <w:tab w:val="left" w:pos="14256" w:leader="none"/>
          <w:tab w:val="left" w:pos="15552" w:leader="none"/>
          <w:tab w:val="left" w:pos="16848" w:leader="none"/>
          <w:tab w:val="left" w:pos="18144" w:leader="none"/>
          <w:tab w:val="left" w:pos="19440" w:leader="none"/>
          <w:tab w:val="left" w:pos="20736" w:leader="none"/>
          <w:tab w:val="left" w:pos="22032" w:leader="none"/>
          <w:tab w:val="left" w:pos="23328" w:leader="none"/>
        </w:tabs>
        <w:suppressAutoHyphens w:val="true"/>
        <w:jc w:val="both"/>
        <w:rPr/>
      </w:pPr>
      <w:r>
        <w:rPr/>
      </w:r>
    </w:p>
    <w:p>
      <w:pPr>
        <w:pStyle w:val="Normal"/>
        <w:tabs>
          <w:tab w:val="clear" w:pos="964"/>
          <w:tab w:val="left" w:pos="0" w:leader="none"/>
          <w:tab w:val="left" w:pos="567" w:leader="none"/>
          <w:tab w:val="left" w:pos="1134" w:leader="none"/>
          <w:tab w:val="left" w:pos="2592" w:leader="none"/>
          <w:tab w:val="left" w:pos="3888" w:leader="none"/>
          <w:tab w:val="left" w:pos="5184" w:leader="none"/>
          <w:tab w:val="left" w:pos="6480" w:leader="none"/>
          <w:tab w:val="left" w:pos="7776" w:leader="none"/>
          <w:tab w:val="left" w:pos="9072" w:leader="none"/>
          <w:tab w:val="left" w:pos="10368" w:leader="none"/>
          <w:tab w:val="left" w:pos="11664" w:leader="none"/>
          <w:tab w:val="left" w:pos="12960" w:leader="none"/>
          <w:tab w:val="left" w:pos="14256" w:leader="none"/>
          <w:tab w:val="left" w:pos="15552" w:leader="none"/>
          <w:tab w:val="left" w:pos="16848" w:leader="none"/>
          <w:tab w:val="left" w:pos="18144" w:leader="none"/>
          <w:tab w:val="left" w:pos="19440" w:leader="none"/>
          <w:tab w:val="left" w:pos="20736" w:leader="none"/>
          <w:tab w:val="left" w:pos="22032" w:leader="none"/>
          <w:tab w:val="left" w:pos="23328" w:leader="none"/>
        </w:tabs>
        <w:suppressAutoHyphens w:val="true"/>
        <w:ind w:hanging="1134" w:start="1134" w:end="0"/>
        <w:jc w:val="both"/>
        <w:rPr/>
      </w:pPr>
      <w:r>
        <w:rPr/>
        <w:tab/>
        <w:t>(v)</w:t>
        <w:tab/>
        <w:t>A judgment entered against a party to the Agreement in the courts of a Contracting State pursuant to the provisions of the Brussels or Lugano Conventions on the Recognition of Judgments in Civil and Commercial Matters and which is enforceable in such a State will be directly enforceable in the Kingdom of Sweden only upon the satisfaction of the requirements:  (a) that a motion for enforcement has been filed with the Svea Court of Appeal in Stockholm as provided in law and has been granted; (b) that no ordinary appeals lie against the judgement entered in the courts of such Contracting State; (c) that the courts of such Contracting State had jurisdiction; (d) that summons has been duly served on the respondent in the proceedings before the courts of such State; (e) that the judgment is not inconsistent with a prior judgment rendered between the same parties in the same matter; and (f) that the judgment does not contravene fundamental principles of the legal order, or the public policy, of the Kingdom of Sweden; and,</w:t>
      </w:r>
    </w:p>
    <w:p>
      <w:pPr>
        <w:pStyle w:val="Normal"/>
        <w:tabs>
          <w:tab w:val="clear" w:pos="964"/>
          <w:tab w:val="left" w:pos="0" w:leader="none"/>
          <w:tab w:val="left" w:pos="567" w:leader="none"/>
          <w:tab w:val="left" w:pos="1134" w:leader="none"/>
          <w:tab w:val="left" w:pos="2592" w:leader="none"/>
          <w:tab w:val="left" w:pos="3888" w:leader="none"/>
          <w:tab w:val="left" w:pos="5184" w:leader="none"/>
          <w:tab w:val="left" w:pos="6480" w:leader="none"/>
          <w:tab w:val="left" w:pos="7776" w:leader="none"/>
          <w:tab w:val="left" w:pos="9072" w:leader="none"/>
          <w:tab w:val="left" w:pos="10368" w:leader="none"/>
          <w:tab w:val="left" w:pos="11664" w:leader="none"/>
          <w:tab w:val="left" w:pos="12960" w:leader="none"/>
          <w:tab w:val="left" w:pos="14256" w:leader="none"/>
          <w:tab w:val="left" w:pos="15552" w:leader="none"/>
          <w:tab w:val="left" w:pos="16848" w:leader="none"/>
          <w:tab w:val="left" w:pos="18144" w:leader="none"/>
          <w:tab w:val="left" w:pos="19440" w:leader="none"/>
          <w:tab w:val="left" w:pos="20736" w:leader="none"/>
          <w:tab w:val="left" w:pos="22032" w:leader="none"/>
          <w:tab w:val="left" w:pos="23328" w:leader="none"/>
        </w:tabs>
        <w:suppressAutoHyphens w:val="true"/>
        <w:jc w:val="both"/>
        <w:rPr/>
      </w:pPr>
      <w:r>
        <w:rPr/>
      </w:r>
    </w:p>
    <w:p>
      <w:pPr>
        <w:pStyle w:val="Normal"/>
        <w:tabs>
          <w:tab w:val="clear" w:pos="964"/>
          <w:tab w:val="left" w:pos="0" w:leader="none"/>
          <w:tab w:val="left" w:pos="567" w:leader="none"/>
          <w:tab w:val="left" w:pos="1134" w:leader="none"/>
          <w:tab w:val="left" w:pos="2592" w:leader="none"/>
          <w:tab w:val="left" w:pos="3888" w:leader="none"/>
          <w:tab w:val="left" w:pos="5184" w:leader="none"/>
          <w:tab w:val="left" w:pos="6480" w:leader="none"/>
          <w:tab w:val="left" w:pos="7776" w:leader="none"/>
          <w:tab w:val="left" w:pos="9072" w:leader="none"/>
          <w:tab w:val="left" w:pos="10368" w:leader="none"/>
          <w:tab w:val="left" w:pos="11664" w:leader="none"/>
          <w:tab w:val="left" w:pos="12960" w:leader="none"/>
          <w:tab w:val="left" w:pos="14256" w:leader="none"/>
          <w:tab w:val="left" w:pos="15552" w:leader="none"/>
          <w:tab w:val="left" w:pos="16848" w:leader="none"/>
          <w:tab w:val="left" w:pos="18144" w:leader="none"/>
          <w:tab w:val="left" w:pos="19440" w:leader="none"/>
          <w:tab w:val="left" w:pos="20736" w:leader="none"/>
          <w:tab w:val="left" w:pos="22032" w:leader="none"/>
          <w:tab w:val="left" w:pos="23328" w:leader="none"/>
        </w:tabs>
        <w:suppressAutoHyphens w:val="true"/>
        <w:ind w:hanging="1134" w:start="1134" w:end="0"/>
        <w:jc w:val="both"/>
        <w:rPr/>
      </w:pPr>
      <w:r>
        <w:rPr/>
        <w:tab/>
        <w:t>(vi)</w:t>
        <w:tab/>
        <w:t>A Swedish court or an arbitral tribunal sitting in the Kingdom of Sweden or applying Swedish procedural law may reject the right to take proceedings in the Kingdom of Sweden, if proceedings which have led to or may lead to a judgment or arbitral award which is enforceable in the Kingdom of Sweden, have already been taken or initiated in or outwith the Kingdom of Sweden in another court of competent jurisdic</w:t>
        <w:softHyphen/>
        <w:t>tion or arbitral tribunal sitting in the Kingdom of Sweden or applying Swedish procedural law and which has been seised of the matter.</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t>There are no other material issues relevant to the issues raised by this opinion which we wish to draw to your attention.</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t>This opinion is given for the sole benefit of the Nordic Association of Electricity Traders and its members and may not be relied upon by any other person without our prior written consent.</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TOC1"/>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sz w:val="24"/>
        </w:rPr>
      </w:pPr>
      <w:r>
        <w:rPr>
          <w:sz w:val="24"/>
        </w:rPr>
        <w:t>Yours faithfully</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sz w:val="24"/>
        </w:rPr>
      </w:pPr>
      <w:r>
        <w:rPr>
          <w:sz w:val="24"/>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t>ADVOKATFIRMAN VINGE KB</w:t>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r>
    </w:p>
    <w:p>
      <w:pPr>
        <w:pStyle w:val="Normal"/>
        <w:tabs>
          <w:tab w:val="clear" w:pos="964"/>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jc w:val="both"/>
        <w:rPr/>
      </w:pPr>
      <w:r>
        <w:rPr/>
        <w:t>Fredrik Wilkens</w:t>
        <w:tab/>
        <w:tab/>
        <w:tab/>
        <w:tab/>
        <w:tab/>
        <w:tab/>
        <w:t>Dan Hanqvist</w:t>
      </w:r>
    </w:p>
    <w:sectPr>
      <w:headerReference w:type="default" r:id="rId6"/>
      <w:headerReference w:type="first" r:id="rId7"/>
      <w:footerReference w:type="default" r:id="rId8"/>
      <w:footerReference w:type="first" r:id="rId9"/>
      <w:type w:val="nextPage"/>
      <w:pgSz w:w="11906" w:h="16838"/>
      <w:pgMar w:left="1985" w:right="1985" w:gutter="0" w:header="879" w:top="1985" w:footer="720"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start w:w="0" w:type="dxa"/>
        <w:bottom w:w="0" w:type="dxa"/>
        <w:end w:w="0" w:type="dxa"/>
      </w:tblCellMar>
    </w:tblPr>
    <w:tblGrid>
      <w:gridCol w:w="6682"/>
      <w:gridCol w:w="3524"/>
    </w:tblGrid>
    <w:tr>
      <w:trPr/>
      <w:tc>
        <w:tcPr>
          <w:tcW w:w="10206" w:type="dxa"/>
          <w:gridSpan w:val="2"/>
          <w:tcBorders/>
        </w:tcPr>
        <w:p>
          <w:pPr>
            <w:pStyle w:val="Footer"/>
            <w:ind w:start="0" w:end="0"/>
            <w:rPr/>
          </w:pPr>
          <w:r>
            <w:rPr/>
            <w:t xml:space="preserve">SMÅLANDSGATAN 20, BOX 1703, SE-111 87 STOCKHOLM, SWEDEN  </w:t>
          </w:r>
          <w:r>
            <w:rPr>
              <w:rFonts w:eastAsia="Symbol" w:cs="Symbol" w:ascii="Symbol" w:hAnsi="Symbol"/>
            </w:rPr>
            <w:sym w:font="Symbol" w:char="f0b7"/>
          </w:r>
          <w:r>
            <w:rPr/>
            <w:t xml:space="preserve">  TEL +46 8 614 30 00  </w:t>
          </w:r>
          <w:r>
            <w:rPr>
              <w:rFonts w:eastAsia="Symbol" w:cs="Symbol" w:ascii="Symbol" w:hAnsi="Symbol"/>
            </w:rPr>
            <w:sym w:font="Symbol" w:char="f0b7"/>
          </w:r>
          <w:r>
            <w:rPr/>
            <w:t xml:space="preserve">  FAX +46 8 614 31 90  </w:t>
          </w:r>
          <w:r>
            <w:rPr>
              <w:rFonts w:eastAsia="Symbol" w:cs="Symbol" w:ascii="Symbol" w:hAnsi="Symbol"/>
            </w:rPr>
            <w:sym w:font="Symbol" w:char="f0b7"/>
          </w:r>
          <w:r>
            <w:rPr/>
            <w:t xml:space="preserve">  WWW.VINGE.SE</w:t>
          </w:r>
        </w:p>
      </w:tc>
    </w:tr>
    <w:tr>
      <w:trPr/>
      <w:tc>
        <w:tcPr>
          <w:tcW w:w="6682" w:type="dxa"/>
          <w:tcBorders>
            <w:bottom w:val="single" w:sz="4" w:space="0" w:color="000000"/>
          </w:tcBorders>
          <w:tcMar>
            <w:start w:w="28" w:type="dxa"/>
            <w:end w:w="28" w:type="dxa"/>
          </w:tcMar>
        </w:tcPr>
        <w:p>
          <w:pPr>
            <w:pStyle w:val="Footer"/>
            <w:spacing w:before="0" w:after="60"/>
            <w:ind w:start="0" w:end="0"/>
            <w:rPr/>
          </w:pPr>
          <w:r>
            <w:rPr>
              <w:sz w:val="11"/>
            </w:rPr>
            <w:t xml:space="preserve">STOCKHOLM  </w:t>
          </w:r>
          <w:r>
            <w:rPr>
              <w:rFonts w:eastAsia="Symbol" w:cs="Symbol" w:ascii="Symbol" w:hAnsi="Symbol"/>
              <w:sz w:val="11"/>
            </w:rPr>
            <w:sym w:font="Symbol" w:char="f0b7"/>
          </w:r>
          <w:r>
            <w:rPr>
              <w:sz w:val="11"/>
            </w:rPr>
            <w:t xml:space="preserve">  GÖTEBORG  </w:t>
          </w:r>
          <w:r>
            <w:rPr>
              <w:rFonts w:eastAsia="Symbol" w:cs="Symbol" w:ascii="Symbol" w:hAnsi="Symbol"/>
              <w:sz w:val="11"/>
            </w:rPr>
            <w:sym w:font="Symbol" w:char="f0b7"/>
          </w:r>
          <w:r>
            <w:rPr>
              <w:sz w:val="11"/>
            </w:rPr>
            <w:t xml:space="preserve">  MALMÖ  </w:t>
          </w:r>
          <w:r>
            <w:rPr>
              <w:rFonts w:eastAsia="Symbol" w:cs="Symbol" w:ascii="Symbol" w:hAnsi="Symbol"/>
              <w:sz w:val="11"/>
            </w:rPr>
            <w:sym w:font="Symbol" w:char="f0b7"/>
          </w:r>
          <w:r>
            <w:rPr>
              <w:sz w:val="11"/>
            </w:rPr>
            <w:t xml:space="preserve">  HELSINGBORG  </w:t>
          </w:r>
          <w:r>
            <w:rPr>
              <w:rFonts w:eastAsia="Symbol" w:cs="Symbol" w:ascii="Symbol" w:hAnsi="Symbol"/>
              <w:sz w:val="11"/>
            </w:rPr>
            <w:sym w:font="Symbol" w:char="f0b7"/>
          </w:r>
          <w:r>
            <w:rPr>
              <w:sz w:val="11"/>
            </w:rPr>
            <w:t xml:space="preserve">  LONDON  </w:t>
          </w:r>
          <w:r>
            <w:rPr>
              <w:rFonts w:eastAsia="Symbol" w:cs="Symbol" w:ascii="Symbol" w:hAnsi="Symbol"/>
              <w:sz w:val="11"/>
            </w:rPr>
            <w:sym w:font="Symbol" w:char="f0b7"/>
          </w:r>
          <w:r>
            <w:rPr>
              <w:sz w:val="11"/>
            </w:rPr>
            <w:t xml:space="preserve">  PARIS  </w:t>
          </w:r>
          <w:r>
            <w:rPr>
              <w:rFonts w:eastAsia="Symbol" w:cs="Symbol" w:ascii="Symbol" w:hAnsi="Symbol"/>
              <w:sz w:val="11"/>
            </w:rPr>
            <w:sym w:font="Symbol" w:char="f0b7"/>
          </w:r>
          <w:r>
            <w:rPr>
              <w:sz w:val="11"/>
            </w:rPr>
            <w:t xml:space="preserve">  BRUSSELS  </w:t>
          </w:r>
          <w:r>
            <w:rPr>
              <w:rFonts w:eastAsia="Symbol" w:cs="Symbol" w:ascii="Symbol" w:hAnsi="Symbol"/>
              <w:sz w:val="11"/>
            </w:rPr>
            <w:sym w:font="Symbol" w:char="f0b7"/>
          </w:r>
          <w:r>
            <w:rPr>
              <w:sz w:val="11"/>
            </w:rPr>
            <w:t xml:space="preserve">  HONG KONG  </w:t>
          </w:r>
          <w:r>
            <w:rPr>
              <w:rFonts w:eastAsia="Symbol" w:cs="Symbol" w:ascii="Symbol" w:hAnsi="Symbol"/>
              <w:sz w:val="11"/>
            </w:rPr>
            <w:sym w:font="Symbol" w:char="f0b7"/>
          </w:r>
          <w:r>
            <w:rPr>
              <w:sz w:val="11"/>
            </w:rPr>
            <w:t xml:space="preserve">  SHANGHAI </w:t>
          </w:r>
        </w:p>
      </w:tc>
      <w:tc>
        <w:tcPr>
          <w:tcW w:w="3524" w:type="dxa"/>
          <w:tcBorders/>
        </w:tcPr>
        <w:p>
          <w:pPr>
            <w:pStyle w:val="Normal"/>
            <w:snapToGrid w:val="false"/>
            <w:rPr/>
          </w:pPr>
          <w:r>
            <w:rPr/>
          </w:r>
        </w:p>
      </w:tc>
    </w:tr>
  </w:tbl>
  <w:p>
    <w:pPr>
      <w:pStyle w:val="Footer"/>
      <w:widowControl w:val="false"/>
      <w:suppressAutoHyphens w:val="true"/>
      <w:spacing w:lineRule="auto" w:line="240" w:before="80" w:after="0"/>
      <w:rPr/>
    </w:pPr>
    <w:r>
      <w:rPr>
        <w:sz w:val="11"/>
      </w:rPr>
      <w:t xml:space="preserve">SCANDINAVIAN LAW ALLIANCE: VINGE, SWEDEN  </w:t>
    </w:r>
    <w:r>
      <w:rPr>
        <w:rFonts w:eastAsia="Symbol" w:cs="Symbol" w:ascii="Symbol" w:hAnsi="Symbol"/>
        <w:sz w:val="11"/>
      </w:rPr>
      <w:sym w:font="Symbol" w:char="f0b7"/>
    </w:r>
    <w:r>
      <w:rPr>
        <w:sz w:val="11"/>
      </w:rPr>
      <w:t xml:space="preserve">  KROMANN &amp; MÜNTER, DENMARK  </w:t>
    </w:r>
    <w:r>
      <w:rPr>
        <w:rFonts w:eastAsia="Symbol" w:cs="Symbol" w:ascii="Symbol" w:hAnsi="Symbol"/>
        <w:sz w:val="11"/>
      </w:rPr>
      <w:sym w:font="Symbol" w:char="f0b7"/>
    </w:r>
    <w:r>
      <w:rPr>
        <w:sz w:val="11"/>
      </w:rPr>
      <w:t xml:space="preserve">  THOMMESSEN KREFTING GREVE LUND, NORWAY</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Fonts w:eastAsia="Arial"/>
      </w:rPr>
      <w:t xml:space="preserve"> </w:t>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r>
      <w:rPr>
        <w:rStyle w:val="PageNumber"/>
      </w:rPr>
      <w:t>)</w:t>
    </w:r>
  </w:p>
  <w:p>
    <w:pPr>
      <w:pStyle w:val="Footer"/>
      <w:jc w:val="start"/>
      <w:rPr/>
    </w:pPr>
    <w:r>
      <w:rPr/>
      <w:t xml:space="preserve">144902 v11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start w:w="0" w:type="dxa"/>
        <w:bottom w:w="0" w:type="dxa"/>
        <w:end w:w="0" w:type="dxa"/>
      </w:tblCellMar>
    </w:tblPr>
    <w:tblGrid>
      <w:gridCol w:w="6682"/>
      <w:gridCol w:w="3524"/>
    </w:tblGrid>
    <w:tr>
      <w:trPr/>
      <w:tc>
        <w:tcPr>
          <w:tcW w:w="10206" w:type="dxa"/>
          <w:gridSpan w:val="2"/>
          <w:tcBorders/>
        </w:tcPr>
        <w:p>
          <w:pPr>
            <w:pStyle w:val="Footer"/>
            <w:ind w:start="0" w:end="0"/>
            <w:rPr/>
          </w:pPr>
          <w:r>
            <w:rPr/>
            <w:t xml:space="preserve">SMÅLANDSGATAN 20, BOX 1703, SE-111 87 STOCKHOLM, SWEDEN  </w:t>
          </w:r>
          <w:r>
            <w:rPr>
              <w:rFonts w:eastAsia="Symbol" w:cs="Symbol" w:ascii="Symbol" w:hAnsi="Symbol"/>
            </w:rPr>
            <w:sym w:font="Symbol" w:char="f0b7"/>
          </w:r>
          <w:r>
            <w:rPr/>
            <w:t xml:space="preserve">  TEL +46 8 614 30 00  </w:t>
          </w:r>
          <w:r>
            <w:rPr>
              <w:rFonts w:eastAsia="Symbol" w:cs="Symbol" w:ascii="Symbol" w:hAnsi="Symbol"/>
            </w:rPr>
            <w:sym w:font="Symbol" w:char="f0b7"/>
          </w:r>
          <w:r>
            <w:rPr/>
            <w:t xml:space="preserve">  FAX +46 8 614 31 90  </w:t>
          </w:r>
          <w:r>
            <w:rPr>
              <w:rFonts w:eastAsia="Symbol" w:cs="Symbol" w:ascii="Symbol" w:hAnsi="Symbol"/>
            </w:rPr>
            <w:sym w:font="Symbol" w:char="f0b7"/>
          </w:r>
          <w:r>
            <w:rPr/>
            <w:t xml:space="preserve">  WWW.VINGE.SE</w:t>
          </w:r>
        </w:p>
      </w:tc>
    </w:tr>
    <w:tr>
      <w:trPr/>
      <w:tc>
        <w:tcPr>
          <w:tcW w:w="6682" w:type="dxa"/>
          <w:tcBorders>
            <w:bottom w:val="single" w:sz="4" w:space="0" w:color="000000"/>
          </w:tcBorders>
          <w:tcMar>
            <w:start w:w="28" w:type="dxa"/>
            <w:end w:w="28" w:type="dxa"/>
          </w:tcMar>
        </w:tcPr>
        <w:p>
          <w:pPr>
            <w:pStyle w:val="Footer"/>
            <w:spacing w:before="0" w:after="60"/>
            <w:ind w:start="0" w:end="0"/>
            <w:rPr/>
          </w:pPr>
          <w:r>
            <w:rPr>
              <w:sz w:val="11"/>
            </w:rPr>
            <w:t xml:space="preserve">STOCKHOLM  </w:t>
          </w:r>
          <w:r>
            <w:rPr>
              <w:rFonts w:eastAsia="Symbol" w:cs="Symbol" w:ascii="Symbol" w:hAnsi="Symbol"/>
              <w:sz w:val="11"/>
            </w:rPr>
            <w:sym w:font="Symbol" w:char="f0b7"/>
          </w:r>
          <w:r>
            <w:rPr>
              <w:sz w:val="11"/>
            </w:rPr>
            <w:t xml:space="preserve">  GÖTEBORG  </w:t>
          </w:r>
          <w:r>
            <w:rPr>
              <w:rFonts w:eastAsia="Symbol" w:cs="Symbol" w:ascii="Symbol" w:hAnsi="Symbol"/>
              <w:sz w:val="11"/>
            </w:rPr>
            <w:sym w:font="Symbol" w:char="f0b7"/>
          </w:r>
          <w:r>
            <w:rPr>
              <w:sz w:val="11"/>
            </w:rPr>
            <w:t xml:space="preserve">  MALMÖ  </w:t>
          </w:r>
          <w:r>
            <w:rPr>
              <w:rFonts w:eastAsia="Symbol" w:cs="Symbol" w:ascii="Symbol" w:hAnsi="Symbol"/>
              <w:sz w:val="11"/>
            </w:rPr>
            <w:sym w:font="Symbol" w:char="f0b7"/>
          </w:r>
          <w:r>
            <w:rPr>
              <w:sz w:val="11"/>
            </w:rPr>
            <w:t xml:space="preserve">  HELSINGBORG  </w:t>
          </w:r>
          <w:r>
            <w:rPr>
              <w:rFonts w:eastAsia="Symbol" w:cs="Symbol" w:ascii="Symbol" w:hAnsi="Symbol"/>
              <w:sz w:val="11"/>
            </w:rPr>
            <w:sym w:font="Symbol" w:char="f0b7"/>
          </w:r>
          <w:r>
            <w:rPr>
              <w:sz w:val="11"/>
            </w:rPr>
            <w:t xml:space="preserve">  LONDON  </w:t>
          </w:r>
          <w:r>
            <w:rPr>
              <w:rFonts w:eastAsia="Symbol" w:cs="Symbol" w:ascii="Symbol" w:hAnsi="Symbol"/>
              <w:sz w:val="11"/>
            </w:rPr>
            <w:sym w:font="Symbol" w:char="f0b7"/>
          </w:r>
          <w:r>
            <w:rPr>
              <w:sz w:val="11"/>
            </w:rPr>
            <w:t xml:space="preserve">  PARIS  </w:t>
          </w:r>
          <w:r>
            <w:rPr>
              <w:rFonts w:eastAsia="Symbol" w:cs="Symbol" w:ascii="Symbol" w:hAnsi="Symbol"/>
              <w:sz w:val="11"/>
            </w:rPr>
            <w:sym w:font="Symbol" w:char="f0b7"/>
          </w:r>
          <w:r>
            <w:rPr>
              <w:sz w:val="11"/>
            </w:rPr>
            <w:t xml:space="preserve">  BRUSSELS  </w:t>
          </w:r>
          <w:r>
            <w:rPr>
              <w:rFonts w:eastAsia="Symbol" w:cs="Symbol" w:ascii="Symbol" w:hAnsi="Symbol"/>
              <w:sz w:val="11"/>
            </w:rPr>
            <w:sym w:font="Symbol" w:char="f0b7"/>
          </w:r>
          <w:r>
            <w:rPr>
              <w:sz w:val="11"/>
            </w:rPr>
            <w:t xml:space="preserve">  HONG KONG  </w:t>
          </w:r>
          <w:r>
            <w:rPr>
              <w:rFonts w:eastAsia="Symbol" w:cs="Symbol" w:ascii="Symbol" w:hAnsi="Symbol"/>
              <w:sz w:val="11"/>
            </w:rPr>
            <w:sym w:font="Symbol" w:char="f0b7"/>
          </w:r>
          <w:r>
            <w:rPr>
              <w:sz w:val="11"/>
            </w:rPr>
            <w:t xml:space="preserve">  SHANGHAI </w:t>
          </w:r>
        </w:p>
      </w:tc>
      <w:tc>
        <w:tcPr>
          <w:tcW w:w="3524" w:type="dxa"/>
          <w:tcBorders/>
        </w:tcPr>
        <w:p>
          <w:pPr>
            <w:pStyle w:val="Normal"/>
            <w:snapToGrid w:val="false"/>
            <w:rPr/>
          </w:pPr>
          <w:r>
            <w:rPr/>
          </w:r>
        </w:p>
      </w:tc>
    </w:tr>
  </w:tbl>
  <w:p>
    <w:pPr>
      <w:pStyle w:val="Footer"/>
      <w:widowControl w:val="false"/>
      <w:suppressAutoHyphens w:val="true"/>
      <w:spacing w:lineRule="auto" w:line="240" w:before="80" w:after="0"/>
      <w:rPr/>
    </w:pPr>
    <w:r>
      <w:rPr>
        <w:sz w:val="11"/>
      </w:rPr>
      <w:t xml:space="preserve">SCANDINAVIAN LAW ALLIANCE: VINGE, SWEDEN  </w:t>
    </w:r>
    <w:r>
      <w:rPr>
        <w:rFonts w:eastAsia="Symbol" w:cs="Symbol" w:ascii="Symbol" w:hAnsi="Symbol"/>
        <w:sz w:val="11"/>
      </w:rPr>
      <w:sym w:font="Symbol" w:char="f0b7"/>
    </w:r>
    <w:r>
      <w:rPr>
        <w:sz w:val="11"/>
      </w:rPr>
      <w:t xml:space="preserve">  KROMANN &amp; MÜNTER, DENMARK  </w:t>
    </w:r>
    <w:r>
      <w:rPr>
        <w:rFonts w:eastAsia="Symbol" w:cs="Symbol" w:ascii="Symbol" w:hAnsi="Symbol"/>
        <w:sz w:val="11"/>
      </w:rPr>
      <w:sym w:font="Symbol" w:char="f0b7"/>
    </w:r>
    <w:r>
      <w:rPr>
        <w:sz w:val="11"/>
      </w:rPr>
      <w:t xml:space="preserve">  THOMMESSEN KREFTING GREVE LUND, NORWAY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jc w:val="center"/>
      <w:rPr>
        <w:sz w:val="56"/>
        <w:lang w:val="en-CA"/>
      </w:rPr>
    </w:pPr>
    <w:r>
      <w:rPr>
        <w:sz w:val="56"/>
        <w:lang w:val="en-CA"/>
      </w:rPr>
      <w:drawing>
        <wp:anchor behindDoc="0" distT="0" distB="0" distL="114935" distR="114935" simplePos="0" locked="0" layoutInCell="0" allowOverlap="1" relativeHeight="3">
          <wp:simplePos x="0" y="0"/>
          <wp:positionH relativeFrom="column">
            <wp:posOffset>1768475</wp:posOffset>
          </wp:positionH>
          <wp:positionV relativeFrom="paragraph">
            <wp:posOffset>36195</wp:posOffset>
          </wp:positionV>
          <wp:extent cx="1511300" cy="330200"/>
          <wp:effectExtent l="0" t="0" r="0" b="0"/>
          <wp:wrapSquare wrapText="left"/>
          <wp:docPr id="2" name="Vin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nge" descr="" title=""/>
                  <pic:cNvPicPr>
                    <a:picLocks noChangeAspect="1" noChangeArrowheads="1"/>
                  </pic:cNvPicPr>
                </pic:nvPicPr>
                <pic:blipFill>
                  <a:blip r:embed="rId1"/>
                  <a:srcRect l="-24" t="-108" r="-24" b="-108"/>
                  <a:stretch>
                    <a:fillRect/>
                  </a:stretch>
                </pic:blipFill>
                <pic:spPr bwMode="auto">
                  <a:xfrm>
                    <a:off x="0" y="0"/>
                    <a:ext cx="1511300" cy="330200"/>
                  </a:xfrm>
                  <a:prstGeom prst="rect">
                    <a:avLst/>
                  </a:prstGeom>
                  <a:noFill/>
                </pic:spPr>
              </pic:pic>
            </a:graphicData>
          </a:graphic>
        </wp:anchor>
      </w:drawing>
    </w:r>
  </w:p>
  <w:p>
    <w:pPr>
      <w:pStyle w:val="Header"/>
      <w:widowControl w:val="false"/>
      <w:jc w:val="center"/>
      <w:rPr>
        <w:rFonts w:ascii="Arial" w:hAnsi="Arial" w:cs="Arial"/>
        <w:b/>
        <w:sz w:val="17"/>
        <w:lang w:val="en-CA"/>
      </w:rPr>
    </w:pPr>
    <w:r>
      <w:rPr>
        <w:rFonts w:cs="Arial" w:ascii="Arial" w:hAnsi="Arial"/>
        <w:b/>
        <w:sz w:val="17"/>
        <w:lang w:val="en-CA"/>
      </w:rPr>
      <mc:AlternateContent>
        <mc:Choice Requires="wps">
          <w:drawing>
            <wp:anchor behindDoc="0" distT="0" distB="0" distL="114935" distR="114935" simplePos="0" locked="0" layoutInCell="0" allowOverlap="1" relativeHeight="2">
              <wp:simplePos x="0" y="0"/>
              <wp:positionH relativeFrom="page">
                <wp:posOffset>2011680</wp:posOffset>
              </wp:positionH>
              <wp:positionV relativeFrom="paragraph">
                <wp:posOffset>67945</wp:posOffset>
              </wp:positionV>
              <wp:extent cx="3456305" cy="0"/>
              <wp:effectExtent l="0" t="1905" r="0" b="1905"/>
              <wp:wrapTopAndBottom/>
              <wp:docPr id="3" name=""/>
              <a:graphic xmlns:a="http://schemas.openxmlformats.org/drawingml/2006/main">
                <a:graphicData uri="http://schemas.microsoft.com/office/word/2010/wordprocessingShape">
                  <wps:wsp>
                    <wps:cNvSpPr/>
                    <wps:spPr>
                      <a:xfrm>
                        <a:off x="0" y="0"/>
                        <a:ext cx="3456360" cy="0"/>
                      </a:xfrm>
                      <a:prstGeom prst="line">
                        <a:avLst/>
                      </a:prstGeom>
                      <a:ln w="3960">
                        <a:solidFill>
                          <a:srgbClr val="000000"/>
                        </a:solidFill>
                        <a:miter/>
                      </a:ln>
                    </wps:spPr>
                    <wps:style>
                      <a:lnRef idx="0"/>
                      <a:fillRef idx="0"/>
                      <a:effectRef idx="0"/>
                      <a:fontRef idx="minor"/>
                    </wps:style>
                    <wps:bodyPr/>
                  </wps:wsp>
                </a:graphicData>
              </a:graphic>
            </wp:anchor>
          </w:drawing>
        </mc:Choice>
        <mc:Fallback>
          <w:pict>
            <v:line id="shape_0" from="158.4pt,5.35pt" to="430.5pt,5.35pt" stroked="t" o:allowincell="f" style="position:absolute;mso-position-horizontal-relative:page">
              <v:stroke color="black" weight="3960" joinstyle="miter" endcap="flat"/>
              <v:fill o:detectmouseclick="t" on="false"/>
              <w10:wrap type="topAndBottom"/>
            </v:line>
          </w:pict>
        </mc:Fallback>
      </mc:AlternateContent>
    </w:r>
  </w:p>
  <w:p>
    <w:pPr>
      <w:pStyle w:val="Header"/>
      <w:widowControl w:val="false"/>
      <w:jc w:val="center"/>
      <w:rPr>
        <w:rFonts w:ascii="Arial" w:hAnsi="Arial" w:cs="Arial"/>
        <w:b/>
        <w:sz w:val="16"/>
      </w:rPr>
    </w:pPr>
    <w:r>
      <w:rPr>
        <w:rFonts w:cs="Arial" w:ascii="Arial" w:hAnsi="Arial"/>
        <w:b/>
        <w:sz w:val="16"/>
      </w:rPr>
      <w:t>ADVOKATFIRMAN VINGE KB</w:t>
    </w:r>
  </w:p>
  <w:p>
    <w:pPr>
      <w:pStyle w:val="Header"/>
      <w:widowControl w:val="false"/>
      <w:jc w:val="center"/>
      <w:rPr>
        <w:rFonts w:ascii="Arial" w:hAnsi="Arial" w:cs="Arial"/>
        <w:b/>
        <w:sz w:val="17"/>
      </w:rPr>
    </w:pPr>
    <w:r>
      <w:rPr>
        <w:rFonts w:cs="Arial" w:ascii="Arial" w:hAnsi="Arial"/>
        <w:b/>
        <w:sz w:val="17"/>
      </w:rPr>
    </w:r>
    <w:bookmarkStart w:id="2" w:name="Hongkong"/>
    <w:bookmarkStart w:id="3" w:name="Hongkong"/>
    <w:bookmarkEnd w:id="3"/>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sz w:val="32"/>
        <w:lang w:val="en-CA"/>
      </w:rPr>
    </w:pPr>
    <w:r>
      <w:rPr>
        <w:rFonts w:cs="Arial" w:ascii="Arial" w:hAnsi="Arial"/>
        <w:sz w:val="32"/>
        <w:lang w:val="en-CA"/>
      </w:rPr>
      <w:drawing>
        <wp:anchor behindDoc="0" distT="0" distB="0" distL="114935" distR="114935" simplePos="0" locked="0" layoutInCell="0" allowOverlap="1" relativeHeight="13">
          <wp:simplePos x="0" y="0"/>
          <wp:positionH relativeFrom="column">
            <wp:posOffset>2106295</wp:posOffset>
          </wp:positionH>
          <wp:positionV relativeFrom="paragraph">
            <wp:posOffset>635</wp:posOffset>
          </wp:positionV>
          <wp:extent cx="849630" cy="185420"/>
          <wp:effectExtent l="0" t="0" r="0" b="0"/>
          <wp:wrapSquare wrapText="left"/>
          <wp:docPr id="4" name="Vin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nge" descr="" title=""/>
                  <pic:cNvPicPr>
                    <a:picLocks noChangeAspect="1" noChangeArrowheads="1"/>
                  </pic:cNvPicPr>
                </pic:nvPicPr>
                <pic:blipFill>
                  <a:blip r:embed="rId1"/>
                  <a:srcRect l="-24" t="-108" r="-24" b="-108"/>
                  <a:stretch>
                    <a:fillRect/>
                  </a:stretch>
                </pic:blipFill>
                <pic:spPr bwMode="auto">
                  <a:xfrm>
                    <a:off x="0" y="0"/>
                    <a:ext cx="849630" cy="185420"/>
                  </a:xfrm>
                  <a:prstGeom prst="rect">
                    <a:avLst/>
                  </a:prstGeom>
                  <a:noFill/>
                </pic:spPr>
              </pic:pic>
            </a:graphicData>
          </a:graphic>
        </wp:anchor>
      </w:drawing>
    </w:r>
  </w:p>
  <w:p>
    <w:pPr>
      <w:pStyle w:val="Header"/>
      <w:jc w:val="center"/>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8">
              <wp:simplePos x="0" y="0"/>
              <wp:positionH relativeFrom="margin">
                <wp:posOffset>1440180</wp:posOffset>
              </wp:positionH>
              <wp:positionV relativeFrom="paragraph">
                <wp:posOffset>71755</wp:posOffset>
              </wp:positionV>
              <wp:extent cx="2160270" cy="0"/>
              <wp:effectExtent l="0" t="1905" r="0" b="1905"/>
              <wp:wrapNone/>
              <wp:docPr id="5" name=""/>
              <a:graphic xmlns:a="http://schemas.openxmlformats.org/drawingml/2006/main">
                <a:graphicData uri="http://schemas.microsoft.com/office/word/2010/wordprocessingShape">
                  <wps:wsp>
                    <wps:cNvSpPr/>
                    <wps:spPr>
                      <a:xfrm>
                        <a:off x="0" y="0"/>
                        <a:ext cx="2160360" cy="0"/>
                      </a:xfrm>
                      <a:prstGeom prst="line">
                        <a:avLst/>
                      </a:prstGeom>
                      <a:ln w="3960">
                        <a:solidFill>
                          <a:srgbClr val="000000"/>
                        </a:solidFill>
                        <a:miter/>
                      </a:ln>
                    </wps:spPr>
                    <wps:style>
                      <a:lnRef idx="0"/>
                      <a:fillRef idx="0"/>
                      <a:effectRef idx="0"/>
                      <a:fontRef idx="minor"/>
                    </wps:style>
                    <wps:bodyPr/>
                  </wps:wsp>
                </a:graphicData>
              </a:graphic>
            </wp:anchor>
          </w:drawing>
        </mc:Choice>
        <mc:Fallback>
          <w:pict>
            <v:line id="shape_0" from="113.4pt,5.65pt" to="283.45pt,5.65pt" stroked="t" o:allowincell="f" style="position:absolute;mso-position-horizontal-relative:margin">
              <v:stroke color="black" weight="3960" joinstyle="miter" endcap="flat"/>
              <v:fill o:detectmouseclick="t" on="false"/>
              <w10:wrap type="none"/>
            </v:line>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jc w:val="center"/>
      <w:rPr>
        <w:sz w:val="56"/>
        <w:lang w:val="en-CA"/>
      </w:rPr>
    </w:pPr>
    <w:r>
      <w:rPr>
        <w:sz w:val="56"/>
        <w:lang w:val="en-CA"/>
      </w:rPr>
      <w:drawing>
        <wp:anchor behindDoc="0" distT="0" distB="0" distL="114935" distR="114935" simplePos="0" locked="0" layoutInCell="0" allowOverlap="1" relativeHeight="16">
          <wp:simplePos x="0" y="0"/>
          <wp:positionH relativeFrom="column">
            <wp:posOffset>1768475</wp:posOffset>
          </wp:positionH>
          <wp:positionV relativeFrom="paragraph">
            <wp:posOffset>36195</wp:posOffset>
          </wp:positionV>
          <wp:extent cx="1511300" cy="330200"/>
          <wp:effectExtent l="0" t="0" r="0" b="0"/>
          <wp:wrapSquare wrapText="left"/>
          <wp:docPr id="6" name="Vinge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nge Copy 1" descr="" title=""/>
                  <pic:cNvPicPr>
                    <a:picLocks noChangeAspect="1" noChangeArrowheads="1"/>
                  </pic:cNvPicPr>
                </pic:nvPicPr>
                <pic:blipFill>
                  <a:blip r:embed="rId1"/>
                  <a:srcRect l="-24" t="-108" r="-24" b="-108"/>
                  <a:stretch>
                    <a:fillRect/>
                  </a:stretch>
                </pic:blipFill>
                <pic:spPr bwMode="auto">
                  <a:xfrm>
                    <a:off x="0" y="0"/>
                    <a:ext cx="1511300" cy="330200"/>
                  </a:xfrm>
                  <a:prstGeom prst="rect">
                    <a:avLst/>
                  </a:prstGeom>
                  <a:noFill/>
                </pic:spPr>
              </pic:pic>
            </a:graphicData>
          </a:graphic>
        </wp:anchor>
      </w:drawing>
    </w:r>
  </w:p>
  <w:p>
    <w:pPr>
      <w:pStyle w:val="Header"/>
      <w:widowControl w:val="false"/>
      <w:jc w:val="center"/>
      <w:rPr>
        <w:rFonts w:ascii="Arial" w:hAnsi="Arial" w:cs="Arial"/>
        <w:b/>
        <w:sz w:val="17"/>
        <w:lang w:val="en-CA"/>
      </w:rPr>
    </w:pPr>
    <w:r>
      <w:rPr>
        <w:rFonts w:cs="Arial" w:ascii="Arial" w:hAnsi="Arial"/>
        <w:b/>
        <w:sz w:val="17"/>
        <w:lang w:val="en-CA"/>
      </w:rPr>
      <mc:AlternateContent>
        <mc:Choice Requires="wps">
          <w:drawing>
            <wp:anchor behindDoc="0" distT="0" distB="0" distL="114935" distR="114935" simplePos="0" locked="0" layoutInCell="0" allowOverlap="1" relativeHeight="15">
              <wp:simplePos x="0" y="0"/>
              <wp:positionH relativeFrom="page">
                <wp:posOffset>2011680</wp:posOffset>
              </wp:positionH>
              <wp:positionV relativeFrom="paragraph">
                <wp:posOffset>67945</wp:posOffset>
              </wp:positionV>
              <wp:extent cx="3456305" cy="0"/>
              <wp:effectExtent l="0" t="1905" r="0" b="1905"/>
              <wp:wrapTopAndBottom/>
              <wp:docPr id="7" name=""/>
              <a:graphic xmlns:a="http://schemas.openxmlformats.org/drawingml/2006/main">
                <a:graphicData uri="http://schemas.microsoft.com/office/word/2010/wordprocessingShape">
                  <wps:wsp>
                    <wps:cNvSpPr/>
                    <wps:spPr>
                      <a:xfrm>
                        <a:off x="0" y="0"/>
                        <a:ext cx="3456360" cy="0"/>
                      </a:xfrm>
                      <a:prstGeom prst="line">
                        <a:avLst/>
                      </a:prstGeom>
                      <a:ln w="3960">
                        <a:solidFill>
                          <a:srgbClr val="000000"/>
                        </a:solidFill>
                        <a:miter/>
                      </a:ln>
                    </wps:spPr>
                    <wps:style>
                      <a:lnRef idx="0"/>
                      <a:fillRef idx="0"/>
                      <a:effectRef idx="0"/>
                      <a:fontRef idx="minor"/>
                    </wps:style>
                    <wps:bodyPr/>
                  </wps:wsp>
                </a:graphicData>
              </a:graphic>
            </wp:anchor>
          </w:drawing>
        </mc:Choice>
        <mc:Fallback>
          <w:pict>
            <v:line id="shape_0" from="158.4pt,5.35pt" to="430.5pt,5.35pt" stroked="t" o:allowincell="f" style="position:absolute;mso-position-horizontal-relative:page">
              <v:stroke color="black" weight="3960" joinstyle="miter" endcap="flat"/>
              <v:fill o:detectmouseclick="t" on="false"/>
              <w10:wrap type="topAndBottom"/>
            </v:line>
          </w:pict>
        </mc:Fallback>
      </mc:AlternateContent>
    </w:r>
  </w:p>
  <w:p>
    <w:pPr>
      <w:pStyle w:val="Header"/>
      <w:widowControl w:val="false"/>
      <w:jc w:val="center"/>
      <w:rPr>
        <w:rFonts w:ascii="Arial" w:hAnsi="Arial" w:cs="Arial"/>
        <w:b/>
        <w:sz w:val="16"/>
      </w:rPr>
    </w:pPr>
    <w:r>
      <w:rPr>
        <w:rFonts w:cs="Arial" w:ascii="Arial" w:hAnsi="Arial"/>
        <w:b/>
        <w:sz w:val="16"/>
      </w:rPr>
      <w:t>ADVOKATFIRMAN VINGE KB</w:t>
    </w:r>
  </w:p>
  <w:p>
    <w:pPr>
      <w:pStyle w:val="Header"/>
      <w:widowControl w:val="false"/>
      <w:jc w:val="center"/>
      <w:rPr>
        <w:rFonts w:ascii="Arial" w:hAnsi="Arial" w:cs="Arial"/>
        <w:b/>
        <w:sz w:val="17"/>
      </w:rPr>
    </w:pPr>
    <w:r>
      <w:rPr>
        <w:rFonts w:cs="Arial" w:ascii="Arial" w:hAnsi="Arial"/>
        <w:b/>
        <w:sz w:val="17"/>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54"/>
        </w:tabs>
        <w:ind w:start="454" w:hanging="454"/>
      </w:pPr>
      <w:rPr>
        <w:rFonts w:ascii="Symbol" w:hAnsi="Symbol" w:cs="Symbol" w:hint="default"/>
      </w:rPr>
    </w:lvl>
  </w:abstractNum>
  <w:abstractNum w:abstractNumId="3">
    <w:lvl w:ilvl="0">
      <w:start w:val="1"/>
      <w:numFmt w:val="decimal"/>
      <w:lvlText w:val="%1"/>
      <w:lvlJc w:val="start"/>
      <w:pPr>
        <w:tabs>
          <w:tab w:val="num" w:pos="964"/>
        </w:tabs>
        <w:ind w:start="964" w:hanging="964"/>
      </w:pPr>
    </w:lvl>
  </w:abstractNum>
  <w:abstractNum w:abstractNumId="4">
    <w:lvl w:ilvl="0">
      <w:start w:val="3"/>
      <w:numFmt w:val="decimal"/>
      <w:lvlText w:val="%1"/>
      <w:lvlJc w:val="start"/>
      <w:pPr>
        <w:tabs>
          <w:tab w:val="num" w:pos="570"/>
        </w:tabs>
        <w:ind w:start="570" w:hanging="570"/>
      </w:pPr>
      <w:rPr/>
    </w:lvl>
    <w:lvl w:ilvl="1">
      <w:start w:val="8"/>
      <w:numFmt w:val="decimal"/>
      <w:lvlText w:val="%1.%2"/>
      <w:lvlJc w:val="start"/>
      <w:pPr>
        <w:tabs>
          <w:tab w:val="num" w:pos="570"/>
        </w:tabs>
        <w:ind w:start="570" w:hanging="57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2"/>
      <w:numFmt w:val="lowerLetter"/>
      <w:lvlText w:val="(%1)"/>
      <w:lvlJc w:val="start"/>
      <w:pPr>
        <w:tabs>
          <w:tab w:val="num" w:pos="1140"/>
        </w:tabs>
        <w:ind w:start="1140" w:hanging="570"/>
      </w:pPr>
      <w:rPr/>
    </w:lvl>
  </w:abstractNum>
  <w:abstractNum w:abstractNumId="6">
    <w:lvl w:ilvl="0">
      <w:start w:val="1"/>
      <w:numFmt w:val="decimal"/>
      <w:lvlText w:val="%1"/>
      <w:lvlJc w:val="start"/>
      <w:pPr>
        <w:tabs>
          <w:tab w:val="num" w:pos="964"/>
        </w:tabs>
        <w:ind w:start="964" w:hanging="964"/>
      </w:pPr>
      <w:rPr>
        <w:rFonts w:ascii="Arial" w:hAnsi="Arial" w:cs="Arial"/>
      </w:rPr>
    </w:lvl>
    <w:lvl w:ilvl="1">
      <w:start w:val="1"/>
      <w:numFmt w:val="decimal"/>
      <w:lvlText w:val="%1.%2"/>
      <w:lvlJc w:val="start"/>
      <w:pPr>
        <w:tabs>
          <w:tab w:val="num" w:pos="964"/>
        </w:tabs>
        <w:ind w:start="964" w:hanging="964"/>
      </w:pPr>
    </w:lvl>
    <w:lvl w:ilvl="2">
      <w:start w:val="1"/>
      <w:numFmt w:val="decimal"/>
      <w:lvlText w:val="%1.%2.%3"/>
      <w:lvlJc w:val="start"/>
      <w:pPr>
        <w:tabs>
          <w:tab w:val="num" w:pos="964"/>
        </w:tabs>
        <w:ind w:start="964" w:hanging="964"/>
      </w:pPr>
    </w:lvl>
    <w:lvl w:ilvl="3">
      <w:start w:val="1"/>
      <w:numFmt w:val="decimal"/>
      <w:lvlText w:val="%1.%2.%3.%4"/>
      <w:lvlJc w:val="start"/>
      <w:pPr>
        <w:tabs>
          <w:tab w:val="num" w:pos="964"/>
        </w:tabs>
        <w:ind w:start="964" w:hanging="9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7">
    <w:lvl w:ilvl="0">
      <w:start w:val="3"/>
      <w:numFmt w:val="lowerLetter"/>
      <w:lvlText w:val="(%1)"/>
      <w:lvlJc w:val="start"/>
      <w:pPr>
        <w:tabs>
          <w:tab w:val="num" w:pos="705"/>
        </w:tabs>
        <w:ind w:start="705" w:hanging="705"/>
      </w:pPr>
      <w:rPr/>
    </w:lvl>
  </w:abstractNum>
  <w:abstractNum w:abstractNumId="8">
    <w:lvl w:ilvl="0">
      <w:start w:val="1"/>
      <w:numFmt w:val="decimal"/>
      <w:lvlText w:val="%1."/>
      <w:lvlJc w:val="start"/>
      <w:pPr>
        <w:tabs>
          <w:tab w:val="num" w:pos="454"/>
        </w:tabs>
        <w:ind w:start="454" w:hanging="454"/>
      </w:pPr>
    </w:lvl>
  </w:abstractNum>
  <w:abstractNum w:abstractNumId="9">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0"/>
      <w:numFmt w:val="lowerLetter"/>
      <w:lvlText w:val="(%1)"/>
      <w:lvlJc w:val="start"/>
      <w:pPr>
        <w:tabs>
          <w:tab w:val="num" w:pos="360"/>
        </w:tabs>
        <w:ind w:start="360" w:hanging="360"/>
      </w:pPr>
      <w:rPr/>
    </w:lvl>
  </w:abstractNum>
  <w:abstractNum w:abstractNumId="11">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1304"/>
  <w:autoHyphenation w:val="true"/>
  <w:hyphenationZone w:val="0"/>
  <w:compat>
    <w:doNotExpandShiftReturn/>
    <w:compatSetting w:name="compatibilityMode" w:uri="http://schemas.microsoft.com/office/word" w:val="11"/>
  </w:compat>
  <w:docVars>
    <w:docVar w:name="1" w:val="8"/>
    <w:docVar w:name="Logga" w:val="1"/>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1304"/>
        <w:tab w:val="left" w:pos="964" w:leader="none"/>
      </w:tabs>
      <w:bidi w:val="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sz w:val="22"/>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Arial" w:hAnsi="Arial" w:cs="Arial"/>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Standardstycketeckensnitt">
    <w:name w:val="Standardstycketeckensnitt"/>
    <w:qFormat/>
    <w:rPr/>
  </w:style>
  <w:style w:type="character" w:styleId="PageNumber">
    <w:name w:val="page number"/>
    <w:basedOn w:val="Standardstycketeckensnitt"/>
    <w:rPr>
      <w:rFonts w:ascii="Arial" w:hAnsi="Arial" w:cs="Arial"/>
      <w:sz w:val="16"/>
    </w:rPr>
  </w:style>
  <w:style w:type="character" w:styleId="FootnoteCharacters">
    <w:name w:val="Footnote Characters"/>
    <w:basedOn w:val="Standardstycketeckensnitt"/>
    <w:qFormat/>
    <w:rPr>
      <w:vertAlign w:val="superscript"/>
    </w:rPr>
  </w:style>
  <w:style w:type="paragraph" w:styleId="Heading">
    <w:name w:val="Heading"/>
    <w:basedOn w:val="Normal"/>
    <w:next w:val="BodyText"/>
    <w:qFormat/>
    <w:pPr>
      <w:tabs>
        <w:tab w:val="clear" w:pos="964"/>
      </w:tabs>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ressen">
    <w:name w:val="Adressen"/>
    <w:basedOn w:val="Normal"/>
    <w:qFormat/>
    <w:pPr>
      <w:tabs>
        <w:tab w:val="clear" w:pos="964"/>
        <w:tab w:val="left" w:pos="4536" w:leader="none"/>
      </w:tabs>
      <w:ind w:hanging="0" w:start="0" w:end="-851"/>
    </w:pPr>
    <w:rPr>
      <w:sz w:val="24"/>
    </w:rPr>
  </w:style>
  <w:style w:type="paragraph" w:styleId="Brdtextmindrag">
    <w:name w:val="Brödtext m indrag"/>
    <w:basedOn w:val="Normal"/>
    <w:qFormat/>
    <w:pPr>
      <w:ind w:hanging="0" w:start="964" w:end="0"/>
    </w:pPr>
    <w:rPr>
      <w:sz w:val="24"/>
    </w:rPr>
  </w:style>
  <w:style w:type="paragraph" w:styleId="nBrdtextmindrag">
    <w:name w:val="nBrödtext m indrag"/>
    <w:basedOn w:val="Normal"/>
    <w:qFormat/>
    <w:pPr>
      <w:numPr>
        <w:ilvl w:val="0"/>
        <w:numId w:val="3"/>
      </w:numPr>
    </w:pPr>
    <w:rPr>
      <w:sz w:val="24"/>
    </w:rPr>
  </w:style>
  <w:style w:type="paragraph" w:styleId="nRubrik1">
    <w:name w:val="nRubrik 1"/>
    <w:basedOn w:val="Normal"/>
    <w:next w:val="Normal"/>
    <w:qFormat/>
    <w:pPr>
      <w:keepNext w:val="true"/>
      <w:numPr>
        <w:ilvl w:val="0"/>
        <w:numId w:val="6"/>
      </w:numPr>
      <w:spacing w:before="240" w:after="60"/>
      <w:outlineLvl w:val="0"/>
    </w:pPr>
    <w:rPr>
      <w:rFonts w:ascii="Arial" w:hAnsi="Arial" w:cs="Arial"/>
      <w:b/>
      <w:kern w:val="2"/>
      <w:sz w:val="28"/>
    </w:rPr>
  </w:style>
  <w:style w:type="paragraph" w:styleId="nRubrik2">
    <w:name w:val="nRubrik 2"/>
    <w:basedOn w:val="Normal"/>
    <w:next w:val="Normal"/>
    <w:qFormat/>
    <w:pPr>
      <w:keepNext w:val="true"/>
      <w:numPr>
        <w:ilvl w:val="0"/>
        <w:numId w:val="6"/>
      </w:numPr>
      <w:spacing w:before="240" w:after="60"/>
      <w:outlineLvl w:val="1"/>
    </w:pPr>
    <w:rPr>
      <w:rFonts w:ascii="Arial" w:hAnsi="Arial" w:cs="Arial"/>
      <w:b/>
    </w:rPr>
  </w:style>
  <w:style w:type="paragraph" w:styleId="nRubrik3">
    <w:name w:val="nRubrik 3"/>
    <w:basedOn w:val="Normal"/>
    <w:next w:val="Normal"/>
    <w:qFormat/>
    <w:pPr>
      <w:keepNext w:val="true"/>
      <w:numPr>
        <w:ilvl w:val="0"/>
        <w:numId w:val="6"/>
      </w:numPr>
      <w:spacing w:before="240" w:after="60"/>
      <w:outlineLvl w:val="2"/>
    </w:pPr>
    <w:rPr>
      <w:rFonts w:ascii="Arial" w:hAnsi="Arial" w:cs="Arial"/>
    </w:rPr>
  </w:style>
  <w:style w:type="paragraph" w:styleId="nRubrik4">
    <w:name w:val="nRubrik 4"/>
    <w:basedOn w:val="Normal"/>
    <w:next w:val="Normal"/>
    <w:qFormat/>
    <w:pPr>
      <w:keepNext w:val="true"/>
      <w:numPr>
        <w:ilvl w:val="0"/>
        <w:numId w:val="6"/>
      </w:numPr>
      <w:spacing w:before="240" w:after="60"/>
      <w:outlineLvl w:val="3"/>
    </w:pPr>
    <w:rPr>
      <w:rFonts w:ascii="Arial" w:hAnsi="Arial" w:cs="Arial"/>
      <w:sz w:val="22"/>
    </w:rPr>
  </w:style>
  <w:style w:type="paragraph" w:styleId="Punktlista1">
    <w:name w:val="Punktlista 1"/>
    <w:basedOn w:val="Normal"/>
    <w:next w:val="Normal"/>
    <w:qFormat/>
    <w:pPr>
      <w:numPr>
        <w:ilvl w:val="0"/>
        <w:numId w:val="2"/>
      </w:numPr>
    </w:pPr>
    <w:rPr/>
  </w:style>
  <w:style w:type="paragraph" w:styleId="Punktlista2">
    <w:name w:val="Punktlista2"/>
    <w:basedOn w:val="Normal"/>
    <w:next w:val="Normal"/>
    <w:qFormat/>
    <w:pPr>
      <w:numPr>
        <w:ilvl w:val="0"/>
        <w:numId w:val="8"/>
      </w:numPr>
    </w:pPr>
    <w:rPr/>
  </w:style>
  <w:style w:type="paragraph" w:styleId="HeaderandFooter">
    <w:name w:val="Header and Footer"/>
    <w:basedOn w:val="Normal"/>
    <w:qFormat/>
    <w:pPr>
      <w:suppressLineNumbers/>
      <w:tabs>
        <w:tab w:val="clear" w:pos="964"/>
        <w:tab w:val="center" w:pos="4986" w:leader="none"/>
        <w:tab w:val="right" w:pos="9972" w:leader="none"/>
      </w:tabs>
    </w:pPr>
    <w:rPr/>
  </w:style>
  <w:style w:type="paragraph" w:styleId="Footer">
    <w:name w:val="footer"/>
    <w:basedOn w:val="Normal"/>
    <w:pPr>
      <w:tabs>
        <w:tab w:val="left" w:pos="964" w:leader="none"/>
        <w:tab w:val="center" w:pos="4536" w:leader="none"/>
        <w:tab w:val="right" w:pos="9072" w:leader="none"/>
      </w:tabs>
      <w:spacing w:lineRule="exact" w:line="210"/>
      <w:ind w:hanging="0" w:start="-680" w:end="-680"/>
      <w:jc w:val="center"/>
    </w:pPr>
    <w:rPr>
      <w:rFonts w:ascii="Arial" w:hAnsi="Arial" w:cs="Arial"/>
      <w:sz w:val="14"/>
      <w:lang w:val="en-CA"/>
    </w:rPr>
  </w:style>
  <w:style w:type="paragraph" w:styleId="Header">
    <w:name w:val="header"/>
    <w:basedOn w:val="Normal"/>
    <w:pPr>
      <w:tabs>
        <w:tab w:val="left" w:pos="964" w:leader="none"/>
        <w:tab w:val="center" w:pos="4536" w:leader="none"/>
        <w:tab w:val="right" w:pos="9072" w:leader="none"/>
      </w:tabs>
    </w:pPr>
    <w:rPr/>
  </w:style>
  <w:style w:type="paragraph" w:styleId="TOC1">
    <w:name w:val="toc 1"/>
    <w:basedOn w:val="Normal"/>
    <w:next w:val="Normal"/>
    <w:pPr>
      <w:tabs>
        <w:tab w:val="clear" w:pos="964"/>
      </w:tabs>
    </w:pPr>
    <w:rPr>
      <w:sz w:val="22"/>
    </w:rPr>
  </w:style>
  <w:style w:type="paragraph" w:styleId="FootnoteText">
    <w:name w:val="footnote text"/>
    <w:basedOn w:val="Normal"/>
    <w:pPr>
      <w:tabs>
        <w:tab w:val="clear" w:pos="964"/>
      </w:tabs>
    </w:pPr>
    <w:rPr>
      <w:sz w:val="20"/>
    </w:rPr>
  </w:style>
  <w:style w:type="paragraph" w:styleId="BodyTextIndent">
    <w:name w:val="Body Text Indent"/>
    <w:basedOn w:val="Normal"/>
    <w:pPr>
      <w:tabs>
        <w:tab w:val="clear" w:pos="964"/>
      </w:tabs>
      <w:ind w:hanging="709" w:start="709" w:end="0"/>
    </w:pPr>
    <w:rPr>
      <w:sz w:val="22"/>
    </w:rPr>
  </w:style>
  <w:style w:type="paragraph" w:styleId="Brdtextmedindrag2">
    <w:name w:val="Brödtext med indrag 2"/>
    <w:basedOn w:val="Normal"/>
    <w:qFormat/>
    <w:pPr>
      <w:tabs>
        <w:tab w:val="clear" w:pos="964"/>
      </w:tabs>
      <w:ind w:hanging="709" w:start="1418" w:end="0"/>
    </w:pPr>
    <w:rPr>
      <w:sz w:val="22"/>
    </w:rPr>
  </w:style>
  <w:style w:type="paragraph" w:styleId="Brdtextmedindrag3">
    <w:name w:val="Brödtext med indrag 3"/>
    <w:basedOn w:val="Normal"/>
    <w:qFormat/>
    <w:pPr>
      <w:tabs>
        <w:tab w:val="clear" w:pos="964"/>
      </w:tabs>
      <w:ind w:hanging="720" w:start="72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VKBBrev</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2000-04-26T12:27:00Z</dcterms:created>
  <dc:creator>Carina Signal</dc:creator>
  <dc:description/>
  <dc:language>en-CA</dc:language>
  <cp:lastModifiedBy>Carina Signal</cp:lastModifiedBy>
  <cp:lastPrinted>2000-04-26T16:57:00Z</cp:lastPrinted>
  <dcterms:modified xsi:type="dcterms:W3CDTF">2000-04-26T12:27:00Z</dcterms:modified>
  <cp:revision>4</cp:revision>
  <dc:subject>Vinge - Word 97-mallar</dc:subject>
  <dc:title>Brev, alla språk</dc:title>
</cp:coreProperties>
</file>