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rFonts w:ascii="Arial" w:hAnsi="Arial" w:cs="Arial"/>
          <w:b/>
          <w:sz w:val="20"/>
        </w:rPr>
      </w:pPr>
      <w:r>
        <w:rPr>
          <w:rFonts w:cs="Arial" w:ascii="Arial" w:hAnsi="Arial"/>
          <w:b/>
          <w:sz w:val="20"/>
        </w:rPr>
        <w:t>Version 1 - 16 February 2000</w:t>
      </w:r>
    </w:p>
    <w:p>
      <w:pPr>
        <w:pStyle w:val="Normal"/>
        <w:jc w:val="center"/>
        <w:rPr>
          <w:rFonts w:ascii="Arial" w:hAnsi="Arial" w:cs="Arial"/>
          <w:b/>
          <w:sz w:val="20"/>
        </w:rPr>
      </w:pPr>
      <w:r>
        <w:rPr>
          <w:rFonts w:cs="Arial" w:ascii="Arial" w:hAnsi="Arial"/>
          <w:b/>
          <w:sz w:val="20"/>
        </w:rPr>
        <w:t>ENRON POWER TRADING LIMITED("Enron")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SWEDISH CREDIT PRODUCT</w:t>
      </w:r>
    </w:p>
    <w:p>
      <w:pPr>
        <w:pStyle w:val="Normal"/>
        <w:numPr>
          <w:ilvl w:val="0"/>
          <w:numId w:val="7"/>
        </w:numPr>
        <w:tabs>
          <w:tab w:val="left" w:pos="720" w:leader="none"/>
        </w:tabs>
        <w:jc w:val="both"/>
        <w:outlineLvl w:val="0"/>
        <w:rPr>
          <w:rFonts w:ascii="Arial" w:hAnsi="Arial" w:cs="Arial"/>
          <w:b/>
          <w:sz w:val="20"/>
        </w:rPr>
      </w:pPr>
      <w:r>
        <w:rPr>
          <w:rFonts w:cs="Arial" w:ascii="Arial" w:hAnsi="Arial"/>
          <w:b/>
          <w:sz w:val="20"/>
        </w:rPr>
        <w:t>Transactions</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parties shall engage in transactions on this website for the purchase and sale of the Credit Product ("Transactions") pursuant to these terms and conditions.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numPr>
          <w:ilvl w:val="0"/>
          <w:numId w:val="0"/>
        </w:numPr>
        <w:ind w:start="720" w:end="0"/>
        <w:jc w:val="both"/>
        <w:outlineLvl w:val="0"/>
        <w:rPr>
          <w:rFonts w:ascii="Arial" w:hAnsi="Arial" w:cs="Arial"/>
          <w:sz w:val="20"/>
        </w:rPr>
      </w:pPr>
      <w:r>
        <w:rPr>
          <w:rFonts w:cs="Arial" w:ascii="Arial" w:hAnsi="Arial"/>
          <w:sz w:val="20"/>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Representations and Warranties</w:t>
      </w:r>
    </w:p>
    <w:p>
      <w:pPr>
        <w:pStyle w:val="Normal"/>
        <w:numPr>
          <w:ilvl w:val="0"/>
          <w:numId w:val="0"/>
        </w:numPr>
        <w:ind w:start="720" w:end="0"/>
        <w:jc w:val="both"/>
        <w:outlineLvl w:val="0"/>
        <w:rPr/>
      </w:pPr>
      <w:r>
        <w:rPr>
          <w:rFonts w:cs="Arial" w:ascii="Arial" w:hAnsi="Arial"/>
          <w:sz w:val="20"/>
        </w:rPr>
        <w:t xml:space="preserve">Each of Enron and Counterparty represents and warrants to the other at the time each Transaction is executed that (a) </w:t>
      </w:r>
      <w:r>
        <w:rPr>
          <w:rFonts w:cs="Arial" w:ascii="Arial" w:hAnsi="Arial"/>
          <w:sz w:val="20"/>
          <w:u w:val="single"/>
        </w:rPr>
        <w:t>Status and Capacity</w:t>
      </w:r>
      <w:r>
        <w:rPr>
          <w:rFonts w:cs="Arial" w:ascii="Arial" w:hAnsi="Arial"/>
          <w:sz w:val="20"/>
        </w:rPr>
        <w:t xml:space="preserve">: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 </w:t>
      </w:r>
      <w:r>
        <w:rPr>
          <w:rFonts w:cs="Arial" w:ascii="Arial" w:hAnsi="Arial"/>
          <w:sz w:val="20"/>
          <w:u w:val="single"/>
        </w:rPr>
        <w:t>Authority</w:t>
      </w:r>
      <w:r>
        <w:rPr>
          <w:rFonts w:cs="Arial" w:ascii="Arial" w:hAnsi="Arial"/>
          <w:sz w:val="20"/>
        </w:rPr>
        <w:t xml:space="preserve">: (i) the execution, delivery and performance of each Transaction has been duly authorised by all necessary corporate, governmental or other organisational action on its part; and (ii) each Transaction is its legally valid and binding obligation, enforceable against it in accordance with its terms; and (c) </w:t>
      </w:r>
      <w:r>
        <w:rPr>
          <w:rFonts w:cs="Arial" w:ascii="Arial" w:hAnsi="Arial"/>
          <w:sz w:val="20"/>
          <w:u w:val="single"/>
        </w:rPr>
        <w:t>Eligible Swap Participant</w:t>
      </w:r>
      <w:r>
        <w:rPr>
          <w:rFonts w:cs="Arial" w:ascii="Arial" w:hAnsi="Arial"/>
          <w:sz w:val="20"/>
        </w:rPr>
        <w:t xml:space="preserve">: (i) it constitutes an "eligible swap participant" as such term is defined in Regulation 35.1(b)(2) of the United States Commodity Futures Trading Commission; and (ii) it is an "accredited investor" as such term is defined in Rule 501 of Regulation D of the United States Securities and Exchange Commission; and (d) </w:t>
      </w:r>
      <w:r>
        <w:rPr>
          <w:rFonts w:cs="Arial" w:ascii="Arial" w:hAnsi="Arial"/>
          <w:sz w:val="20"/>
          <w:u w:val="single"/>
        </w:rPr>
        <w:t>Line of Business</w:t>
      </w:r>
      <w:r>
        <w:rPr>
          <w:rFonts w:cs="Arial" w:ascii="Arial" w:hAnsi="Arial"/>
          <w:sz w:val="20"/>
        </w:rPr>
        <w:t xml:space="preserve">: (i) 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options, it is a commercial user of, or merchant in, the commodity (i.e. credit risk) subject to each Transaction and it has entered into each Transaction solely for purposes related to its business as such; and (e) </w:t>
      </w:r>
      <w:r>
        <w:rPr>
          <w:rFonts w:cs="Arial" w:ascii="Arial" w:hAnsi="Arial"/>
          <w:sz w:val="20"/>
          <w:u w:val="single"/>
        </w:rPr>
        <w:t>No Reliance</w:t>
      </w:r>
      <w:r>
        <w:rPr>
          <w:rFonts w:cs="Arial" w:ascii="Arial" w:hAnsi="Arial"/>
          <w:sz w:val="20"/>
        </w:rPr>
        <w:t>: (i) the other party to each Transaction (1) is not acting as a fiduciary or financial, investment or commodity trading advisor for it; and (2) 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the ETA between the parties, or otherwise set out on this website; (3) it has made and will make its own assessment and decisions regarding the entering into of each Transaction based upon its own judgment and upon the advice from such professional advisors as it has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legally and otherwise) those risks.</w:t>
      </w:r>
    </w:p>
    <w:p>
      <w:pPr>
        <w:pStyle w:val="Normal"/>
        <w:numPr>
          <w:ilvl w:val="0"/>
          <w:numId w:val="0"/>
        </w:numPr>
        <w:ind w:start="720" w:end="0"/>
        <w:outlineLvl w:val="0"/>
        <w:rPr>
          <w:rFonts w:ascii="Arial" w:hAnsi="Arial" w:cs="Arial"/>
          <w:sz w:val="20"/>
        </w:rPr>
      </w:pPr>
      <w:r>
        <w:rPr>
          <w:rFonts w:cs="Arial" w:ascii="Arial" w:hAnsi="Arial"/>
          <w:sz w:val="20"/>
        </w:rPr>
        <w:t>Counterparty acknowledges, agrees and understands that:</w:t>
      </w:r>
    </w:p>
    <w:p>
      <w:pPr>
        <w:pStyle w:val="Normal"/>
        <w:numPr>
          <w:ilvl w:val="0"/>
          <w:numId w:val="0"/>
        </w:numPr>
        <w:ind w:start="720" w:end="0"/>
        <w:jc w:val="both"/>
        <w:outlineLvl w:val="0"/>
        <w:rPr>
          <w:rFonts w:ascii="Arial" w:hAnsi="Arial" w:cs="Arial"/>
          <w:sz w:val="20"/>
        </w:rPr>
      </w:pPr>
      <w:r>
        <w:rPr>
          <w:rFonts w:cs="Arial" w:ascii="Arial" w:hAnsi="Arial"/>
          <w:sz w:val="20"/>
        </w:rPr>
        <w:t>(A)</w:t>
        <w:tab/>
        <w:t>ENRON’S PARTICIPATION IN TRANSACTIONS MAY INVOLVE CERTAIN ACTUAL OR POTENTIAL CONFLICTS OF INTEREST.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 AND ENRON’S PARTICIPATION IN TRANSACTIONS MAY INVOLVE CERTAIN ACTUAL OR POTENTIAL CONFLICTS OF INTEREST.</w:t>
      </w:r>
    </w:p>
    <w:p>
      <w:pPr>
        <w:pStyle w:val="Normal"/>
        <w:numPr>
          <w:ilvl w:val="0"/>
          <w:numId w:val="0"/>
        </w:numPr>
        <w:ind w:start="720" w:end="0"/>
        <w:jc w:val="both"/>
        <w:outlineLvl w:val="0"/>
        <w:rPr>
          <w:rFonts w:ascii="Arial" w:hAnsi="Arial" w:cs="Arial"/>
          <w:sz w:val="20"/>
        </w:rPr>
      </w:pPr>
      <w:r>
        <w:rPr>
          <w:rFonts w:cs="Arial" w:ascii="Arial" w:hAnsi="Arial"/>
          <w:sz w:val="20"/>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p>
    <w:p>
      <w:pPr>
        <w:pStyle w:val="Normal"/>
        <w:numPr>
          <w:ilvl w:val="0"/>
          <w:numId w:val="0"/>
        </w:numPr>
        <w:ind w:start="720" w:end="0"/>
        <w:jc w:val="both"/>
        <w:outlineLvl w:val="0"/>
        <w:rPr>
          <w:rFonts w:ascii="Arial" w:hAnsi="Arial" w:cs="Arial"/>
          <w:sz w:val="20"/>
        </w:rPr>
      </w:pPr>
      <w:r>
        <w:rPr>
          <w:rFonts w:cs="Arial" w:ascii="Arial" w:hAnsi="Arial"/>
          <w:sz w:val="20"/>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p>
    <w:p>
      <w:pPr>
        <w:pStyle w:val="Normal"/>
        <w:numPr>
          <w:ilvl w:val="0"/>
          <w:numId w:val="0"/>
        </w:numPr>
        <w:ind w:start="720" w:end="0"/>
        <w:jc w:val="both"/>
        <w:outlineLvl w:val="0"/>
        <w:rPr>
          <w:rFonts w:ascii="Arial" w:hAnsi="Arial" w:cs="Arial"/>
          <w:sz w:val="20"/>
        </w:rPr>
      </w:pPr>
      <w:r>
        <w:rPr>
          <w:rFonts w:cs="Arial" w:ascii="Arial" w:hAnsi="Arial"/>
          <w:sz w:val="20"/>
        </w:rPr>
        <w:t>(D)</w:t>
        <w:tab/>
        <w:t>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Payments</w:t>
      </w:r>
    </w:p>
    <w:p>
      <w:pPr>
        <w:pStyle w:val="Normal"/>
        <w:numPr>
          <w:ilvl w:val="0"/>
          <w:numId w:val="0"/>
        </w:numPr>
        <w:ind w:start="720" w:end="0"/>
        <w:jc w:val="both"/>
        <w:outlineLvl w:val="0"/>
        <w:rPr>
          <w:rFonts w:ascii="Arial" w:hAnsi="Arial" w:cs="Arial"/>
          <w:sz w:val="20"/>
        </w:rPr>
      </w:pPr>
      <w:r>
        <w:rPr>
          <w:rFonts w:cs="Arial" w:ascii="Arial" w:hAnsi="Arial"/>
          <w:sz w:val="20"/>
        </w:rPr>
        <w:t xml:space="preserve">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Scheduled Termination Date and the denominator of which is the number of days from (and including) the immediately preceding Buyer Payment Date to (but excluding) the Quarter Day immediately following the Scheduled Termination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If on or after the Effective Date and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 </w:t>
      </w:r>
    </w:p>
    <w:p>
      <w:pPr>
        <w:pStyle w:val="Normal"/>
        <w:numPr>
          <w:ilvl w:val="0"/>
          <w:numId w:val="0"/>
        </w:numPr>
        <w:ind w:start="720" w:end="0"/>
        <w:jc w:val="both"/>
        <w:outlineLvl w:val="0"/>
        <w:rPr>
          <w:rFonts w:ascii="Arial" w:hAnsi="Arial" w:cs="Arial"/>
          <w:sz w:val="20"/>
        </w:rPr>
      </w:pPr>
      <w:r>
        <w:rPr>
          <w:rFonts w:cs="Arial" w:ascii="Arial" w:hAnsi="Arial"/>
          <w:sz w:val="20"/>
        </w:rPr>
        <w:t xml:space="preserve">Only one valid Bankruptcy Event Notice and Notice of Publicly Available Information may be delivered in respect of a Transaction and such notices may be delivered by either Enron or Counterparty. Each party hereby agrees that the determination of the Determination Agent as to the validity of any such notice shall, in the absence of manifest error, be final. </w:t>
      </w:r>
    </w:p>
    <w:p>
      <w:pPr>
        <w:pStyle w:val="Normal"/>
        <w:numPr>
          <w:ilvl w:val="0"/>
          <w:numId w:val="0"/>
        </w:numPr>
        <w:ind w:start="720" w:end="0"/>
        <w:jc w:val="both"/>
        <w:outlineLvl w:val="0"/>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Events of Default</w:t>
      </w:r>
    </w:p>
    <w:p>
      <w:pPr>
        <w:pStyle w:val="Normal"/>
        <w:numPr>
          <w:ilvl w:val="0"/>
          <w:numId w:val="0"/>
        </w:numPr>
        <w:ind w:start="720" w:end="0"/>
        <w:jc w:val="both"/>
        <w:outlineLvl w:val="0"/>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insolvency proceedings against it, its winding-up or liquidation (other than for the purposes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Control occurs.</w:t>
      </w:r>
    </w:p>
    <w:p>
      <w:pPr>
        <w:pStyle w:val="Normal"/>
        <w:numPr>
          <w:ilvl w:val="0"/>
          <w:numId w:val="0"/>
        </w:numPr>
        <w:ind w:start="720" w:end="0"/>
        <w:jc w:val="both"/>
        <w:outlineLvl w:val="0"/>
        <w:rPr>
          <w:rFonts w:ascii="Arial" w:hAnsi="Arial" w:cs="Arial"/>
          <w:sz w:val="20"/>
        </w:rPr>
      </w:pPr>
      <w:r>
        <w:rPr>
          <w:rFonts w:cs="Arial" w:ascii="Arial" w:hAnsi="Arial"/>
          <w:sz w:val="20"/>
        </w:rPr>
        <w:t>Each obligation of each party to make payments under this GTC or a Transaction is subject to the condition precedent that no Event of Default in respect of the other party has occurred and is continuing.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Remedies</w:t>
      </w:r>
    </w:p>
    <w:p>
      <w:pPr>
        <w:pStyle w:val="Normal"/>
        <w:numPr>
          <w:ilvl w:val="0"/>
          <w:numId w:val="0"/>
        </w:numPr>
        <w:ind w:start="720" w:end="0"/>
        <w:jc w:val="both"/>
        <w:outlineLvl w:val="0"/>
        <w:rPr>
          <w:rFonts w:ascii="Arial" w:hAnsi="Arial" w:cs="Arial"/>
          <w:sz w:val="20"/>
        </w:rPr>
      </w:pPr>
      <w:r>
        <w:rPr>
          <w:rFonts w:cs="Arial" w:ascii="Arial" w:hAnsi="Arial"/>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shall be terminated, except as provided below.</w:t>
      </w:r>
    </w:p>
    <w:p>
      <w:pPr>
        <w:pStyle w:val="Normal"/>
        <w:numPr>
          <w:ilvl w:val="0"/>
          <w:numId w:val="0"/>
        </w:numPr>
        <w:ind w:start="720" w:end="0"/>
        <w:jc w:val="both"/>
        <w:outlineLvl w:val="0"/>
        <w:rPr/>
      </w:pPr>
      <w:r>
        <w:rPr>
          <w:rFonts w:cs="Arial" w:ascii="Arial" w:hAnsi="Arial"/>
          <w:sz w:val="20"/>
        </w:rPr>
        <w:t xml:space="preserve">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party’s aggregate Gains exceed its aggregate Losses and Costs, if any, the non-defaulting party shall, within ten Business Days of receipt of such notice, pay the net amount to the Defaulting Party. For the purposes of the above: (a) "Costs" shall mean, with respect to a party, brokerage fees, commissions and other similar transaction costs and expenses reasonably incurred by such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numPr>
          <w:ilvl w:val="0"/>
          <w:numId w:val="0"/>
        </w:numPr>
        <w:ind w:start="720" w:end="0"/>
        <w:jc w:val="both"/>
        <w:outlineLvl w:val="0"/>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Set-off</w:t>
      </w:r>
    </w:p>
    <w:p>
      <w:pPr>
        <w:pStyle w:val="Normal"/>
        <w:numPr>
          <w:ilvl w:val="0"/>
          <w:numId w:val="0"/>
        </w:numPr>
        <w:ind w:start="720" w:end="0"/>
        <w:jc w:val="both"/>
        <w:outlineLvl w:val="0"/>
        <w:rPr>
          <w:rFonts w:ascii="Arial" w:hAnsi="Arial" w:cs="Arial"/>
          <w:sz w:val="20"/>
        </w:rPr>
      </w:pPr>
      <w:r>
        <w:rPr>
          <w:rFonts w:cs="Arial" w:ascii="Arial" w:hAnsi="Arial"/>
          <w:sz w:val="20"/>
        </w:rPr>
        <w:t xml:space="preserve">In the event of an occurrence of an Early Termination Date, if the Defaulting Party would be owed amounts (such amounts calculated after the deduction of any tax withholding) in respect of the obligations under a Transaction relating to such occurrence of an Early Termination Date, the non-defaulting party shall be entitled, at its option and in its discretion, to set-off against such amount any amounts payable (such amounts calculated after the deduction of any tax withholding)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numPr>
          <w:ilvl w:val="0"/>
          <w:numId w:val="0"/>
        </w:numPr>
        <w:ind w:start="720" w:end="0"/>
        <w:jc w:val="both"/>
        <w:outlineLvl w:val="0"/>
        <w:rPr>
          <w:rFonts w:ascii="Arial" w:hAnsi="Arial" w:cs="Arial"/>
          <w:sz w:val="20"/>
        </w:rPr>
      </w:pPr>
      <w:r>
        <w:rPr>
          <w:rFonts w:cs="Arial" w:ascii="Arial" w:hAnsi="Arial"/>
          <w:sz w:val="20"/>
        </w:rPr>
        <w:t>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1"/>
        </w:numPr>
        <w:tabs>
          <w:tab w:val="left" w:pos="720" w:leader="none"/>
        </w:tabs>
        <w:outlineLvl w:val="0"/>
        <w:rPr>
          <w:rFonts w:ascii="Arial" w:hAnsi="Arial" w:cs="Arial"/>
          <w:b/>
          <w:sz w:val="20"/>
        </w:rPr>
      </w:pPr>
      <w:r>
        <w:rPr>
          <w:rFonts w:cs="Arial" w:ascii="Arial" w:hAnsi="Arial"/>
          <w:b/>
          <w:sz w:val="20"/>
        </w:rPr>
        <w:t>Termination</w:t>
      </w:r>
    </w:p>
    <w:p>
      <w:pPr>
        <w:pStyle w:val="Normal"/>
        <w:numPr>
          <w:ilvl w:val="0"/>
          <w:numId w:val="0"/>
        </w:numPr>
        <w:ind w:start="720" w:end="0"/>
        <w:jc w:val="both"/>
        <w:outlineLvl w:val="0"/>
        <w:rPr>
          <w:rFonts w:ascii="Arial" w:hAnsi="Arial" w:cs="Arial"/>
          <w:sz w:val="20"/>
        </w:rPr>
      </w:pPr>
      <w:r>
        <w:rPr>
          <w:rFonts w:cs="Arial" w:ascii="Arial" w:hAnsi="Arial"/>
          <w:sz w:val="20"/>
        </w:rPr>
        <w:t>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 (a)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For the avoidance of doubt, it shall not be unreasonable to withhold consent to a proposed transfer or assignment if the non-transferring or non-assigning party would be required to gross-up its payments to the proposed transferee or assignee or would be required to receive payments from the proposed transferee or assignee net of any withholding or deduction that would not otherwise be required under this GTC or under applicable law in the absence of the proposed assignment or transfer. Enron may, without the consent of Counterparty, (i) assign and/or transfer the whole or any part of its rights or obligations under any Transaction(s) and this GTC to one or more Affiliates and (ii) assign and/or transfer the whole or any part of its rights or obligations under any Transaction(s) and this GTC to any person in connection with a financing transaction (including, without limitation, any monetisation, securitisation or sub-participation of Enron’s rights and/or obligations under any or all of the Transactions entered into pursuant to this GTC).</w:t>
      </w:r>
    </w:p>
    <w:p>
      <w:pPr>
        <w:pStyle w:val="Normal"/>
        <w:numPr>
          <w:ilvl w:val="0"/>
          <w:numId w:val="0"/>
        </w:numPr>
        <w:ind w:start="720" w:end="0"/>
        <w:jc w:val="both"/>
        <w:outlineLvl w:val="0"/>
        <w:rPr>
          <w:rFonts w:ascii="Arial" w:hAnsi="Arial" w:cs="Arial"/>
          <w:sz w:val="20"/>
        </w:rPr>
      </w:pPr>
      <w:r>
        <w:rPr>
          <w:rFonts w:cs="Arial" w:ascii="Arial" w:hAnsi="Arial"/>
          <w:sz w:val="20"/>
        </w:rPr>
        <w:t>The governing law and jurisdiction applicable to each Transaction and this GTC shall be determined according to paragraph 1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Enron and Counterparty agree that the words "financial products," shall be inserted in the sixth line of the first paragraph of the ETA after the words "for the trading of products and instruments based on". Notwithstanding Section 3(a) of the ETA, this GTC shall constitute, along with all the other provisions of the ETA and any other applicable terms contained on this website, the entire agreement between the parties, and shall supersede all prior oral or written communications or agreements, relating to the Transaction. In the event of any conflict between the ETA and this GTC, this GTC shall prevail.</w:t>
      </w:r>
    </w:p>
    <w:p>
      <w:pPr>
        <w:pStyle w:val="Normal"/>
        <w:numPr>
          <w:ilvl w:val="0"/>
          <w:numId w:val="0"/>
        </w:numPr>
        <w:ind w:start="720" w:end="0"/>
        <w:jc w:val="both"/>
        <w:outlineLvl w:val="0"/>
        <w:rPr>
          <w:rFonts w:ascii="Arial" w:hAnsi="Arial" w:cs="Arial"/>
          <w:sz w:val="20"/>
        </w:rPr>
      </w:pPr>
      <w:r>
        <w:rPr>
          <w:rFonts w:cs="Arial" w:ascii="Arial" w:hAnsi="Arial"/>
          <w:sz w:val="20"/>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numPr>
          <w:ilvl w:val="0"/>
          <w:numId w:val="1"/>
        </w:numPr>
        <w:tabs>
          <w:tab w:val="left" w:pos="720" w:leader="none"/>
        </w:tabs>
        <w:outlineLvl w:val="0"/>
        <w:rPr>
          <w:rFonts w:ascii="Arial" w:hAnsi="Arial" w:cs="Arial"/>
          <w:b/>
          <w:sz w:val="20"/>
        </w:rPr>
      </w:pPr>
      <w:r>
        <w:rPr>
          <w:rFonts w:cs="Arial" w:ascii="Arial" w:hAnsi="Arial"/>
          <w:b/>
          <w:sz w:val="20"/>
        </w:rPr>
        <w:t>Notices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All notices in connection with a Transaction may be given between 9.00 a.m. and 4.00 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 p.m. on a Business Day, it will be deemed to be delivered on the next following Business Day. </w:t>
      </w:r>
    </w:p>
    <w:p>
      <w:pPr>
        <w:pStyle w:val="Normal"/>
        <w:numPr>
          <w:ilvl w:val="0"/>
          <w:numId w:val="1"/>
        </w:numPr>
        <w:tabs>
          <w:tab w:val="left" w:pos="720" w:leader="none"/>
        </w:tabs>
        <w:outlineLvl w:val="0"/>
        <w:rPr>
          <w:rFonts w:ascii="Arial" w:hAnsi="Arial" w:cs="Arial"/>
          <w:b/>
          <w:sz w:val="20"/>
        </w:rPr>
      </w:pPr>
      <w:r>
        <w:rPr>
          <w:rFonts w:cs="Arial" w:ascii="Arial" w:hAnsi="Arial"/>
          <w:b/>
          <w:sz w:val="20"/>
        </w:rPr>
        <w:t>Amendment</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Transactions and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Taxes</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Payor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numPr>
          <w:ilvl w:val="0"/>
          <w:numId w:val="0"/>
        </w:numPr>
        <w:ind w:hanging="0" w:start="2160" w:end="0"/>
        <w:jc w:val="both"/>
        <w:outlineLvl w:val="2"/>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the Counterparty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Branch Jurisdiction (if any) or the Counterparty Residence Jurisdiction is the United Kingdom) no such payment is attributable to a trade or business carried on by it through a permanent establishment in the United Kingdom.</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Residence Jurisdiction is the United Kingdom) no such payment is attributable to a trade or business carried on by it through a permanent establishment in the Counterparty Residence Jurisdiction.</w:t>
      </w:r>
    </w:p>
    <w:p>
      <w:pPr>
        <w:pStyle w:val="Normal"/>
        <w:numPr>
          <w:ilvl w:val="0"/>
          <w:numId w:val="0"/>
        </w:numPr>
        <w:ind w:hanging="0" w:start="2160" w:end="0"/>
        <w:jc w:val="both"/>
        <w:outlineLvl w:val="2"/>
        <w:rPr>
          <w:rFonts w:ascii="Arial" w:hAnsi="Arial" w:cs="Arial"/>
          <w:sz w:val="20"/>
        </w:rPr>
      </w:pPr>
      <w:r>
        <w:rPr>
          <w:rFonts w:cs="Arial" w:ascii="Arial" w:hAnsi="Arial"/>
          <w:sz w:val="20"/>
        </w:rPr>
        <w:t>If there is a Counterparty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Counterparty Branch Jurisdiction is the United Kingdom) no such payment is attributable to a trade or business carried on by it through a permanent establishment in the Counterparty Branch Jurisdiction.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w:t>
      </w:r>
      <w:r>
        <w:rPr>
          <w:rFonts w:cs="Arial" w:ascii="Arial" w:hAnsi="Arial"/>
          <w:sz w:val="20"/>
        </w:rPr>
        <w:t xml:space="preserve"> </w:t>
      </w:r>
      <w:r>
        <w:rPr>
          <w:rFonts w:cs="Arial" w:ascii="Arial" w:hAnsi="Arial"/>
          <w:i/>
          <w:sz w:val="20"/>
        </w:rPr>
        <w:t>Branch Jurisdiction</w:t>
      </w:r>
      <w:r>
        <w:rPr>
          <w:rFonts w:cs="Arial" w:ascii="Arial" w:hAnsi="Arial"/>
          <w:sz w:val="20"/>
        </w:rPr>
        <w:t>" means the jurisdiction (if any) specified as such by the parties to a Transaction.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Treaty</w:t>
      </w:r>
      <w:r>
        <w:rPr>
          <w:rFonts w:cs="Arial" w:ascii="Arial" w:hAnsi="Arial"/>
          <w:sz w:val="20"/>
        </w:rPr>
        <w:t>" means the income tax treaty between the United Kingdom and the Counterparty Branch Jurisdiction provided that, where there is no such treaty, there shall be no Counterparty Branch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Treaty</w:t>
      </w:r>
      <w:r>
        <w:rPr>
          <w:rFonts w:cs="Arial" w:ascii="Arial" w:hAnsi="Arial"/>
          <w:sz w:val="20"/>
        </w:rPr>
        <w:t>" means the income tax treaty between the United Kingdom and the Counterparty Residence Jurisdiction provided that, where there is no such treaty, there shall be no Counterparty Residence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Jurisdiction</w:t>
      </w:r>
      <w:r>
        <w:rPr>
          <w:rFonts w:cs="Arial" w:ascii="Arial" w:hAnsi="Arial"/>
          <w:sz w:val="20"/>
        </w:rPr>
        <w:t>" means the jurisdiction specified as such by the parties to a Transaction.</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Changes in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Withholding Tax Exemption Form</w:t>
      </w:r>
    </w:p>
    <w:p>
      <w:pPr>
        <w:pStyle w:val="Normal"/>
        <w:numPr>
          <w:ilvl w:val="0"/>
          <w:numId w:val="0"/>
        </w:numPr>
        <w:ind w:hanging="0" w:start="2160" w:end="0"/>
        <w:jc w:val="both"/>
        <w:outlineLvl w:val="2"/>
        <w:rPr>
          <w:rFonts w:ascii="Arial" w:hAnsi="Arial" w:cs="Arial"/>
          <w:sz w:val="20"/>
        </w:rPr>
      </w:pPr>
      <w:r>
        <w:rPr>
          <w:rFonts w:cs="Arial" w:ascii="Arial" w:hAnsi="Arial"/>
          <w:sz w:val="20"/>
        </w:rPr>
        <w:t>Upon request, each party shall provide the other with (or, if a party has assigned its rights under this GTC or any Transaction, procure the provision of) a properly completed and executed exemption form, certificate or other document that will allow the other party to make any payment hereunder without deduction or withholding for Tax, including, but not limited to, the United States Internal Revenue Service Form W-8, 1001 and/or 4224 and appropriate successor forms thereto.</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Gross Up</w:t>
      </w:r>
    </w:p>
    <w:p>
      <w:pPr>
        <w:pStyle w:val="Normal"/>
        <w:numPr>
          <w:ilvl w:val="0"/>
          <w:numId w:val="0"/>
        </w:numPr>
        <w:ind w:hanging="0" w:start="2160" w:end="0"/>
        <w:jc w:val="both"/>
        <w:outlineLvl w:val="2"/>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notify the other party ("Y") of such requirement;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forward to Y an official receipt (or certified copy thereof) or other documentation reasonably acceptable to Y evidencing such payment to such authorities;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Liability</w:t>
      </w:r>
    </w:p>
    <w:p>
      <w:pPr>
        <w:pStyle w:val="Normal"/>
        <w:numPr>
          <w:ilvl w:val="0"/>
          <w:numId w:val="0"/>
        </w:numPr>
        <w:ind w:hanging="0" w:start="2160" w:end="0"/>
        <w:jc w:val="both"/>
        <w:outlineLvl w:val="2"/>
        <w:rPr>
          <w:rFonts w:ascii="Arial" w:hAnsi="Arial" w:cs="Arial"/>
          <w:sz w:val="20"/>
        </w:rPr>
      </w:pPr>
      <w:r>
        <w:rPr>
          <w:rFonts w:cs="Arial" w:ascii="Arial" w:hAnsi="Arial"/>
          <w:sz w:val="20"/>
        </w:rPr>
        <w:t>If:</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is required by any applicable law, as modified by the practice of any relevant governmental revenue authority, to make any deduction or withholding for or on account of any Tax in respect of which X would not be required to pay an additional amount to Y under subsection (E)(iv);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does not so deduct or withhold;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 in Tax Law</w:t>
      </w:r>
    </w:p>
    <w:p>
      <w:pPr>
        <w:pStyle w:val="Normal"/>
        <w:numPr>
          <w:ilvl w:val="0"/>
          <w:numId w:val="0"/>
        </w:numPr>
        <w:ind w:hanging="0" w:start="2160" w:end="0"/>
        <w:jc w:val="both"/>
        <w:outlineLvl w:val="2"/>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Be required to pay to the other party an additional amount in respect of an Indemnifiable Tax (except in respect of any interest payable under the Transaction); or</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Receive a payment from which an amount is required to be deducted or withheld on account of a Tax (except in respect of any interest payable under the Transaction) and no additional amount is required to be paid in respect of such Tax under subsection (E)(iv) (other than by reason of subsection (E)(iv)(a) or (b)),</w:t>
      </w:r>
    </w:p>
    <w:p>
      <w:pPr>
        <w:pStyle w:val="BodyTextIndent2"/>
        <w:rPr/>
      </w:pPr>
      <w:r>
        <w:rPr/>
        <w:t>then such party may, in its sole discretion, upon two (2) Business Days notice to the other party, designate an Early Termination Date under Section 5 of this GTC. For purposes of calculating Gains, Losses and Costs under Section 5 of this GTC, the party designating the Early Termination Date as a result of a Change in Tax Law shall be treated as the Defaulting Party, and the other party shall be treated as the non-defaulting party.</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 (other than any agreement or covenant under subsections (E), (F) or (G)).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Currency Provisions</w:t>
      </w:r>
    </w:p>
    <w:p>
      <w:pPr>
        <w:pStyle w:val="Normal"/>
        <w:numPr>
          <w:ilvl w:val="0"/>
          <w:numId w:val="0"/>
        </w:numPr>
        <w:ind w:start="720" w:end="0"/>
        <w:jc w:val="both"/>
        <w:outlineLvl w:val="0"/>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General Definitions</w:t>
      </w:r>
    </w:p>
    <w:p>
      <w:pPr>
        <w:pStyle w:val="Normal"/>
        <w:numPr>
          <w:ilvl w:val="0"/>
          <w:numId w:val="0"/>
        </w:numPr>
        <w:ind w:start="720" w:end="0"/>
        <w:jc w:val="both"/>
        <w:outlineLvl w:val="0"/>
        <w:rPr>
          <w:rFonts w:ascii="Arial" w:hAnsi="Arial" w:cs="Arial"/>
          <w:sz w:val="20"/>
        </w:rPr>
      </w:pPr>
      <w:r>
        <w:rPr>
          <w:rFonts w:cs="Arial" w:ascii="Arial" w:hAnsi="Arial"/>
          <w:sz w:val="20"/>
        </w:rPr>
        <w:t>As used in this GTC:</w:t>
      </w:r>
    </w:p>
    <w:p>
      <w:pPr>
        <w:pStyle w:val="Normal"/>
        <w:numPr>
          <w:ilvl w:val="0"/>
          <w:numId w:val="0"/>
        </w:numPr>
        <w:ind w:start="720" w:end="0"/>
        <w:outlineLvl w:val="0"/>
        <w:rPr/>
      </w:pPr>
      <w:r>
        <w:rPr>
          <w:rFonts w:cs="Arial" w:ascii="Arial" w:hAnsi="Arial"/>
          <w:sz w:val="20"/>
        </w:rPr>
        <w:t>"</w:t>
      </w:r>
      <w:r>
        <w:rPr>
          <w:rFonts w:cs="Arial" w:ascii="Arial" w:hAnsi="Arial"/>
          <w:i/>
          <w:sz w:val="20"/>
        </w:rPr>
        <w:t>Affiliate</w:t>
      </w:r>
      <w:r>
        <w:rPr>
          <w:rFonts w:cs="Arial" w:ascii="Arial" w:hAnsi="Arial"/>
          <w:sz w:val="20"/>
        </w:rPr>
        <w:t>" shall mean in relation to any party, any entity, directly or indirectly in the Control of the party, any entity that Controls, directly or indirectly, the party or any entity directly or indirectly under common Control with the party.</w:t>
      </w:r>
    </w:p>
    <w:p>
      <w:pPr>
        <w:pStyle w:val="Normal"/>
        <w:numPr>
          <w:ilvl w:val="0"/>
          <w:numId w:val="0"/>
        </w:numPr>
        <w:ind w:start="720" w:end="0"/>
        <w:jc w:val="both"/>
        <w:outlineLvl w:val="0"/>
        <w:rPr/>
      </w:pPr>
      <w:r>
        <w:rPr>
          <w:rFonts w:cs="Arial" w:ascii="Arial" w:hAnsi="Arial"/>
          <w:i/>
          <w:sz w:val="20"/>
        </w:rPr>
        <w:t>"Bankruptcy Event"</w:t>
      </w:r>
      <w:r>
        <w:rPr>
          <w:rFonts w:cs="Arial" w:ascii="Arial" w:hAnsi="Arial"/>
          <w:sz w:val="20"/>
        </w:rPr>
        <w:t xml:space="preserve"> shall mean:</w:t>
      </w:r>
    </w:p>
    <w:p>
      <w:pPr>
        <w:pStyle w:val="Normal"/>
        <w:numPr>
          <w:ilvl w:val="0"/>
          <w:numId w:val="0"/>
        </w:numPr>
        <w:ind w:start="720" w:end="0"/>
        <w:jc w:val="both"/>
        <w:outlineLvl w:val="0"/>
        <w:rPr/>
      </w:pPr>
      <w:r>
        <w:rPr>
          <w:rFonts w:cs="Arial" w:ascii="Arial" w:hAnsi="Arial"/>
          <w:sz w:val="20"/>
        </w:rPr>
        <w:t>(i)</w:t>
        <w:tab/>
        <w:t>the Reference Entity is declared bankrupt according to the Swedish Bankruptcy Act of 11 June 1987, as amended, (</w:t>
      </w:r>
      <w:r>
        <w:rPr>
          <w:rFonts w:cs="Arial" w:ascii="Arial" w:hAnsi="Arial"/>
          <w:i/>
          <w:sz w:val="20"/>
        </w:rPr>
        <w:t>Swedish: konkurslagen</w:t>
      </w:r>
      <w:r>
        <w:rPr>
          <w:rFonts w:cs="Arial" w:ascii="Arial" w:hAnsi="Arial"/>
          <w:sz w:val="20"/>
        </w:rPr>
        <w:t>); or</w:t>
      </w:r>
    </w:p>
    <w:p>
      <w:pPr>
        <w:pStyle w:val="Normal"/>
        <w:numPr>
          <w:ilvl w:val="0"/>
          <w:numId w:val="0"/>
        </w:numPr>
        <w:ind w:start="720" w:end="0"/>
        <w:jc w:val="both"/>
        <w:outlineLvl w:val="0"/>
        <w:rPr/>
      </w:pPr>
      <w:r>
        <w:rPr>
          <w:rFonts w:cs="Arial" w:ascii="Arial" w:hAnsi="Arial"/>
          <w:sz w:val="20"/>
        </w:rPr>
        <w:t>(ii)</w:t>
        <w:tab/>
        <w:t>a petition for reorganisation in relation to the Reference Entity according to the Company Reorganisation Act of 1 September 1996, as amended, (</w:t>
      </w:r>
      <w:r>
        <w:rPr>
          <w:rFonts w:cs="Arial" w:ascii="Arial" w:hAnsi="Arial"/>
          <w:i/>
          <w:sz w:val="20"/>
        </w:rPr>
        <w:t xml:space="preserve">Swedish: lag om företagsrekonstruktion) </w:t>
      </w:r>
      <w:r>
        <w:rPr>
          <w:rFonts w:cs="Arial" w:ascii="Arial" w:hAnsi="Arial"/>
          <w:sz w:val="20"/>
        </w:rPr>
        <w:t>has been granted.</w:t>
      </w:r>
    </w:p>
    <w:p>
      <w:pPr>
        <w:pStyle w:val="Normal"/>
        <w:numPr>
          <w:ilvl w:val="0"/>
          <w:numId w:val="0"/>
        </w:numPr>
        <w:ind w:start="720" w:end="0"/>
        <w:jc w:val="both"/>
        <w:outlineLvl w:val="0"/>
        <w:rPr/>
      </w:pPr>
      <w:r>
        <w:rPr>
          <w:rFonts w:cs="Arial" w:ascii="Arial" w:hAnsi="Arial"/>
          <w:i/>
          <w:sz w:val="20"/>
        </w:rPr>
        <w:t>"Bankruptcy Event Notice"</w:t>
      </w:r>
      <w:r>
        <w:rPr>
          <w:rFonts w:cs="Arial" w:ascii="Arial" w:hAnsi="Arial"/>
          <w:sz w:val="20"/>
        </w:rPr>
        <w:t xml:space="preserve"> shall mean an irrevocable notice delivered by one party to the other that describes in reasonable detail a Bankruptcy Event occurring on or after the Effective Date and before the Scheduled Termination Date. </w:t>
      </w:r>
    </w:p>
    <w:p>
      <w:pPr>
        <w:pStyle w:val="Normal"/>
        <w:numPr>
          <w:ilvl w:val="0"/>
          <w:numId w:val="0"/>
        </w:numPr>
        <w:ind w:start="720" w:end="0"/>
        <w:jc w:val="both"/>
        <w:outlineLvl w:val="0"/>
        <w:rPr/>
      </w:pPr>
      <w:r>
        <w:rPr>
          <w:rFonts w:cs="Arial" w:ascii="Arial" w:hAnsi="Arial"/>
          <w:i/>
          <w:sz w:val="20"/>
        </w:rPr>
        <w:t xml:space="preserve">"Business Day" </w:t>
      </w:r>
      <w:r>
        <w:rPr>
          <w:rFonts w:cs="Arial" w:ascii="Arial" w:hAnsi="Arial"/>
          <w:sz w:val="20"/>
        </w:rPr>
        <w:t>shall have the meaning set out in Paragraph 2 of the Schedule to this GTC.</w:t>
      </w:r>
    </w:p>
    <w:p>
      <w:pPr>
        <w:pStyle w:val="Normal"/>
        <w:numPr>
          <w:ilvl w:val="0"/>
          <w:numId w:val="0"/>
        </w:numPr>
        <w:ind w:start="720" w:end="0"/>
        <w:jc w:val="both"/>
        <w:outlineLvl w:val="0"/>
        <w:rPr/>
      </w:pPr>
      <w:r>
        <w:rPr>
          <w:rFonts w:cs="Arial" w:ascii="Arial" w:hAnsi="Arial"/>
          <w:i/>
          <w:sz w:val="20"/>
        </w:rPr>
        <w:t>"Buyer"</w:t>
      </w:r>
      <w:r>
        <w:rPr>
          <w:rFonts w:cs="Arial" w:ascii="Arial" w:hAnsi="Arial"/>
          <w:sz w:val="20"/>
        </w:rPr>
        <w:t xml:space="preserve"> shall mean the purchaser of the Credit Product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"Buyer Payment"</w:t>
      </w:r>
      <w:r>
        <w:rPr>
          <w:rFonts w:cs="Arial" w:ascii="Arial" w:hAnsi="Arial"/>
          <w:sz w:val="20"/>
        </w:rPr>
        <w:t xml:space="preserve"> shall mean the amount to be paid on each Buyer Payment Date by the Buyer to the Seller pursuant to a Transaction as set out on this website and recorded in Enron’s electronic records in respect of the Transaction. </w:t>
      </w:r>
    </w:p>
    <w:p>
      <w:pPr>
        <w:pStyle w:val="Normal"/>
        <w:numPr>
          <w:ilvl w:val="0"/>
          <w:numId w:val="0"/>
        </w:numPr>
        <w:ind w:start="720" w:end="0"/>
        <w:jc w:val="both"/>
        <w:outlineLvl w:val="0"/>
        <w:rPr/>
      </w:pPr>
      <w:r>
        <w:rPr>
          <w:rFonts w:cs="Arial" w:ascii="Arial" w:hAnsi="Arial"/>
          <w:i/>
          <w:sz w:val="20"/>
        </w:rPr>
        <w:t>"Buyer Payment Date"</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in respect of the first payment, the first Quarter Day falling before the Scheduled Termination Date; and</w:t>
      </w:r>
    </w:p>
    <w:p>
      <w:pPr>
        <w:pStyle w:val="Normal"/>
        <w:numPr>
          <w:ilvl w:val="0"/>
          <w:numId w:val="0"/>
        </w:numPr>
        <w:ind w:start="720" w:end="0"/>
        <w:jc w:val="both"/>
        <w:outlineLvl w:val="0"/>
        <w:rPr>
          <w:rFonts w:ascii="Arial" w:hAnsi="Arial" w:cs="Arial"/>
          <w:sz w:val="20"/>
        </w:rPr>
      </w:pPr>
      <w:r>
        <w:rPr>
          <w:rFonts w:cs="Arial" w:ascii="Arial" w:hAnsi="Arial"/>
          <w:sz w:val="20"/>
        </w:rPr>
        <w:t>(ii)</w:t>
        <w:tab/>
        <w:t>in respect of the second and each subsequent payment, each Quarter Day falling before the Scheduled Termination Date; and</w:t>
      </w:r>
    </w:p>
    <w:p>
      <w:pPr>
        <w:pStyle w:val="Normal"/>
        <w:numPr>
          <w:ilvl w:val="0"/>
          <w:numId w:val="0"/>
        </w:numPr>
        <w:ind w:start="720" w:end="0"/>
        <w:jc w:val="both"/>
        <w:outlineLvl w:val="0"/>
        <w:rPr>
          <w:rFonts w:ascii="Arial" w:hAnsi="Arial" w:cs="Arial"/>
          <w:sz w:val="20"/>
        </w:rPr>
      </w:pPr>
      <w:r>
        <w:rPr>
          <w:rFonts w:cs="Arial" w:ascii="Arial" w:hAnsi="Arial"/>
          <w:sz w:val="20"/>
        </w:rPr>
        <w:t>(iii)</w:t>
        <w:tab/>
        <w:t xml:space="preserve">in respect of the final payment, the Scheduled Termination Date. </w:t>
      </w:r>
    </w:p>
    <w:p>
      <w:pPr>
        <w:pStyle w:val="Normal"/>
        <w:numPr>
          <w:ilvl w:val="0"/>
          <w:numId w:val="0"/>
        </w:numPr>
        <w:ind w:start="720" w:end="0"/>
        <w:jc w:val="both"/>
        <w:outlineLvl w:val="0"/>
        <w:rPr/>
      </w:pPr>
      <w:r>
        <w:rPr>
          <w:rFonts w:cs="Arial" w:ascii="Arial" w:hAnsi="Arial"/>
          <w:i/>
          <w:sz w:val="20"/>
        </w:rPr>
        <w:t xml:space="preserve">"Change in Tax Law" </w:t>
      </w:r>
      <w:r>
        <w:rPr>
          <w:rFonts w:cs="Arial" w:ascii="Arial" w:hAnsi="Arial"/>
          <w:sz w:val="20"/>
        </w:rPr>
        <w:t>shall mean any proposed or final rulemaking published by a taxing authority, or a final decision of a court of competent jurisdiction, after the Trade Date of the relevant Transaction (regardless of whether</w:t>
      </w:r>
      <w:r>
        <w:rPr>
          <w:rFonts w:cs="Arial" w:ascii="Arial" w:hAnsi="Arial"/>
          <w:b/>
          <w:sz w:val="20"/>
        </w:rPr>
        <w:t xml:space="preserve"> </w:t>
      </w:r>
      <w:r>
        <w:rPr>
          <w:rFonts w:cs="Arial" w:ascii="Arial" w:hAnsi="Arial"/>
          <w:sz w:val="20"/>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Trade Date of the relevant Transaction.</w:t>
      </w:r>
    </w:p>
    <w:p>
      <w:pPr>
        <w:pStyle w:val="Normal"/>
        <w:numPr>
          <w:ilvl w:val="0"/>
          <w:numId w:val="0"/>
        </w:numPr>
        <w:ind w:start="720" w:end="0"/>
        <w:jc w:val="both"/>
        <w:outlineLvl w:val="0"/>
        <w:rPr/>
      </w:pPr>
      <w:r>
        <w:rPr>
          <w:rFonts w:cs="Arial" w:ascii="Arial" w:hAnsi="Arial"/>
          <w:i/>
          <w:sz w:val="20"/>
        </w:rPr>
        <w:t>"Contractual Currency"</w:t>
      </w:r>
      <w:r>
        <w:rPr>
          <w:rFonts w:cs="Arial" w:ascii="Arial" w:hAnsi="Arial"/>
          <w:sz w:val="20"/>
        </w:rPr>
        <w:t xml:space="preserve"> shall mean the currency in which the Buyer Payments and Seller Payment shall be made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"Control"</w:t>
      </w:r>
      <w:r>
        <w:rPr>
          <w:rFonts w:cs="Arial" w:ascii="Arial" w:hAnsi="Arial"/>
          <w:sz w:val="20"/>
        </w:rPr>
        <w:t xml:space="preserve"> shall mean in respect of an entity the right to exercise more than 50 per cent. of the voting power in that entity and control shall be deemed to exist through (a) the direct or indirect ownership of 50 per cent. or more of the nominal value of the equity or issued share capital or of the shares or of 50 per cent.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 </w:t>
      </w:r>
    </w:p>
    <w:p>
      <w:pPr>
        <w:pStyle w:val="Normal"/>
        <w:numPr>
          <w:ilvl w:val="0"/>
          <w:numId w:val="0"/>
        </w:numPr>
        <w:ind w:start="720" w:end="0"/>
        <w:jc w:val="both"/>
        <w:outlineLvl w:val="0"/>
        <w:rPr/>
      </w:pPr>
      <w:r>
        <w:rPr>
          <w:rFonts w:cs="Arial" w:ascii="Arial" w:hAnsi="Arial"/>
          <w:i/>
          <w:sz w:val="20"/>
        </w:rPr>
        <w:t>"Credit Product"</w:t>
      </w:r>
      <w:r>
        <w:rPr>
          <w:rFonts w:cs="Arial" w:ascii="Arial" w:hAnsi="Arial"/>
          <w:sz w:val="20"/>
        </w:rPr>
        <w:t xml:space="preserve"> shall mean in respect of a Transaction the credit protection which the parties to such Transaction buy or sell in respect of the Reference Entity that is subject of such Transaction. </w:t>
      </w:r>
    </w:p>
    <w:p>
      <w:pPr>
        <w:pStyle w:val="Normal"/>
        <w:numPr>
          <w:ilvl w:val="0"/>
          <w:numId w:val="0"/>
        </w:numPr>
        <w:ind w:start="720" w:end="0"/>
        <w:jc w:val="both"/>
        <w:outlineLvl w:val="0"/>
        <w:rPr/>
      </w:pPr>
      <w:r>
        <w:rPr>
          <w:rFonts w:cs="Arial" w:ascii="Arial" w:hAnsi="Arial"/>
          <w:i/>
          <w:sz w:val="20"/>
        </w:rPr>
        <w:t>"Derivative Transaction"</w:t>
      </w:r>
      <w:r>
        <w:rPr>
          <w:rFonts w:cs="Arial" w:ascii="Arial" w:hAnsi="Arial"/>
          <w:sz w:val="20"/>
        </w:rPr>
        <w:t xml:space="preserve"> shall mean all swap, option or other financially-settled derivative transaction between the parties (but, for the avoidance of doubt, shall not include any Transaction).</w:t>
      </w:r>
    </w:p>
    <w:p>
      <w:pPr>
        <w:pStyle w:val="Normal"/>
        <w:numPr>
          <w:ilvl w:val="0"/>
          <w:numId w:val="0"/>
        </w:numPr>
        <w:ind w:start="720" w:end="0"/>
        <w:jc w:val="both"/>
        <w:outlineLvl w:val="0"/>
        <w:rPr/>
      </w:pPr>
      <w:r>
        <w:rPr>
          <w:rFonts w:cs="Arial" w:ascii="Arial" w:hAnsi="Arial"/>
          <w:i/>
          <w:sz w:val="20"/>
        </w:rPr>
        <w:t>"Determination Agent"</w:t>
      </w:r>
      <w:r>
        <w:rPr>
          <w:rFonts w:cs="Arial" w:ascii="Arial" w:hAnsi="Arial"/>
          <w:sz w:val="20"/>
        </w:rPr>
        <w:t xml:space="preserve"> shall mean Enron.</w:t>
      </w:r>
    </w:p>
    <w:p>
      <w:pPr>
        <w:pStyle w:val="Normal"/>
        <w:numPr>
          <w:ilvl w:val="0"/>
          <w:numId w:val="0"/>
        </w:numPr>
        <w:ind w:start="720" w:end="0"/>
        <w:jc w:val="both"/>
        <w:outlineLvl w:val="0"/>
        <w:rPr/>
      </w:pPr>
      <w:r>
        <w:rPr>
          <w:rFonts w:cs="Arial" w:ascii="Arial" w:hAnsi="Arial"/>
          <w:i/>
          <w:sz w:val="20"/>
        </w:rPr>
        <w:t>"Effective Date"</w:t>
      </w:r>
      <w:r>
        <w:rPr>
          <w:rFonts w:cs="Arial" w:ascii="Arial" w:hAnsi="Arial"/>
          <w:sz w:val="20"/>
        </w:rPr>
        <w:t xml:space="preserve"> shall mean 12.01 a.m. on the date falling two Months after the Trade Date. </w:t>
      </w:r>
    </w:p>
    <w:p>
      <w:pPr>
        <w:pStyle w:val="Normal"/>
        <w:numPr>
          <w:ilvl w:val="0"/>
          <w:numId w:val="0"/>
        </w:numPr>
        <w:ind w:start="720" w:end="0"/>
        <w:jc w:val="both"/>
        <w:outlineLvl w:val="0"/>
        <w:rPr/>
      </w:pPr>
      <w:r>
        <w:rPr>
          <w:rFonts w:cs="Arial" w:ascii="Arial" w:hAnsi="Arial"/>
          <w:i/>
          <w:sz w:val="20"/>
        </w:rPr>
        <w:t>"ETA"</w:t>
      </w:r>
      <w:r>
        <w:rPr>
          <w:rFonts w:cs="Arial" w:ascii="Arial" w:hAnsi="Arial"/>
          <w:sz w:val="20"/>
        </w:rPr>
        <w:t xml:space="preserve"> shall mean the electronic trading agreement (as amended or modified) entered into by the parties in respect of Transactions. </w:t>
      </w:r>
    </w:p>
    <w:p>
      <w:pPr>
        <w:pStyle w:val="Normal"/>
        <w:numPr>
          <w:ilvl w:val="0"/>
          <w:numId w:val="0"/>
        </w:numPr>
        <w:ind w:start="720" w:end="0"/>
        <w:jc w:val="both"/>
        <w:outlineLvl w:val="0"/>
        <w:rPr/>
      </w:pPr>
      <w:r>
        <w:rPr>
          <w:rFonts w:cs="Arial" w:ascii="Arial" w:hAnsi="Arial"/>
          <w:i/>
          <w:sz w:val="20"/>
        </w:rPr>
        <w:t>"Indemnifiable Tax"</w:t>
      </w:r>
      <w:r>
        <w:rPr>
          <w:rFonts w:cs="Arial" w:ascii="Arial" w:hAnsi="Arial"/>
          <w:sz w:val="20"/>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p>
    <w:p>
      <w:pPr>
        <w:pStyle w:val="Normal"/>
        <w:numPr>
          <w:ilvl w:val="0"/>
          <w:numId w:val="0"/>
        </w:numPr>
        <w:ind w:start="720" w:end="0"/>
        <w:jc w:val="both"/>
        <w:outlineLvl w:val="0"/>
        <w:rPr/>
      </w:pPr>
      <w:r>
        <w:rPr>
          <w:rFonts w:cs="Arial" w:ascii="Arial" w:hAnsi="Arial"/>
          <w:i/>
          <w:sz w:val="20"/>
        </w:rPr>
        <w:t>"Interest Rate"</w:t>
      </w:r>
      <w:r>
        <w:rPr>
          <w:rFonts w:cs="Arial" w:ascii="Arial" w:hAnsi="Arial"/>
          <w:sz w:val="20"/>
        </w:rPr>
        <w:t xml:space="preserve"> shall mean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numPr>
          <w:ilvl w:val="0"/>
          <w:numId w:val="0"/>
        </w:numPr>
        <w:ind w:start="720" w:end="0"/>
        <w:jc w:val="both"/>
        <w:outlineLvl w:val="0"/>
        <w:rPr/>
      </w:pPr>
      <w:r>
        <w:rPr>
          <w:rFonts w:cs="Arial" w:ascii="Arial" w:hAnsi="Arial"/>
          <w:i/>
          <w:sz w:val="20"/>
        </w:rPr>
        <w:t>"Month"</w:t>
      </w:r>
      <w:r>
        <w:rPr>
          <w:rFonts w:cs="Arial" w:ascii="Arial" w:hAnsi="Arial"/>
          <w:sz w:val="20"/>
        </w:rPr>
        <w:t xml:space="preserve"> shall mean a calendar month.</w:t>
      </w:r>
    </w:p>
    <w:p>
      <w:pPr>
        <w:pStyle w:val="Normal"/>
        <w:numPr>
          <w:ilvl w:val="0"/>
          <w:numId w:val="0"/>
        </w:numPr>
        <w:ind w:start="720" w:end="0"/>
        <w:jc w:val="both"/>
        <w:outlineLvl w:val="0"/>
        <w:rPr/>
      </w:pPr>
      <w:r>
        <w:rPr>
          <w:rFonts w:cs="Arial" w:ascii="Arial" w:hAnsi="Arial"/>
          <w:i/>
          <w:sz w:val="20"/>
        </w:rPr>
        <w:t>"Notice of Publicly Available Information"</w:t>
      </w:r>
      <w:r>
        <w:rPr>
          <w:rFonts w:cs="Arial" w:ascii="Arial" w:hAnsi="Arial"/>
          <w:sz w:val="20"/>
        </w:rPr>
        <w:t xml:space="preserve">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w:t>
      </w:r>
    </w:p>
    <w:p>
      <w:pPr>
        <w:pStyle w:val="Normal"/>
        <w:numPr>
          <w:ilvl w:val="0"/>
          <w:numId w:val="0"/>
        </w:numPr>
        <w:ind w:start="720" w:end="0"/>
        <w:jc w:val="both"/>
        <w:outlineLvl w:val="0"/>
        <w:rPr/>
      </w:pPr>
      <w:r>
        <w:rPr>
          <w:rFonts w:cs="Arial" w:ascii="Arial" w:hAnsi="Arial"/>
          <w:i/>
          <w:sz w:val="20"/>
        </w:rPr>
        <w:t>"Payment Date"</w:t>
      </w:r>
      <w:r>
        <w:rPr>
          <w:rFonts w:cs="Arial" w:ascii="Arial" w:hAnsi="Arial"/>
          <w:sz w:val="20"/>
        </w:rPr>
        <w:t xml:space="preserve"> shall mean each of the Buyer Payment Date or the Seller Payment Date or both such dates as the context may require. </w:t>
      </w:r>
    </w:p>
    <w:p>
      <w:pPr>
        <w:pStyle w:val="Normal"/>
        <w:numPr>
          <w:ilvl w:val="0"/>
          <w:numId w:val="0"/>
        </w:numPr>
        <w:ind w:start="720" w:end="0"/>
        <w:jc w:val="both"/>
        <w:outlineLvl w:val="0"/>
        <w:rPr/>
      </w:pPr>
      <w:r>
        <w:rPr>
          <w:rFonts w:cs="Arial" w:ascii="Arial" w:hAnsi="Arial"/>
          <w:i/>
          <w:sz w:val="20"/>
        </w:rPr>
        <w:t>"Publicly Available Information"</w:t>
      </w:r>
      <w:r>
        <w:rPr>
          <w:rFonts w:cs="Arial" w:ascii="Arial" w:hAnsi="Arial"/>
          <w:sz w:val="20"/>
        </w:rPr>
        <w:t xml:space="preserve"> 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Svenska Dagbladet, Dagens Nyheter or Dagens Industri, or (b) Post-och Inrikes Tidningar or any electronically published source maintained by the Swedish Patent and Registration Office. If the Buyer or any of its Affiliates is cited by any such news source as the sole source for such information, then such information shall not be deemed to be Publicly Available Information. </w:t>
      </w:r>
    </w:p>
    <w:p>
      <w:pPr>
        <w:pStyle w:val="Normal"/>
        <w:numPr>
          <w:ilvl w:val="0"/>
          <w:numId w:val="0"/>
        </w:numPr>
        <w:ind w:start="720" w:end="0"/>
        <w:jc w:val="both"/>
        <w:outlineLvl w:val="0"/>
        <w:rPr/>
      </w:pPr>
      <w:r>
        <w:rPr>
          <w:rFonts w:cs="Arial" w:ascii="Arial" w:hAnsi="Arial"/>
          <w:i/>
          <w:sz w:val="20"/>
        </w:rPr>
        <w:t>"Quarter Day"</w:t>
      </w:r>
      <w:r>
        <w:rPr>
          <w:rFonts w:cs="Arial" w:ascii="Arial" w:hAnsi="Arial"/>
          <w:sz w:val="20"/>
        </w:rPr>
        <w:t xml:space="preserve"> shall mean the last Business Day in March, June, September and December.</w:t>
      </w:r>
    </w:p>
    <w:p>
      <w:pPr>
        <w:pStyle w:val="Normal"/>
        <w:numPr>
          <w:ilvl w:val="0"/>
          <w:numId w:val="0"/>
        </w:numPr>
        <w:ind w:start="720" w:end="0"/>
        <w:jc w:val="both"/>
        <w:outlineLvl w:val="0"/>
        <w:rPr/>
      </w:pPr>
      <w:r>
        <w:rPr>
          <w:rFonts w:cs="Arial" w:ascii="Arial" w:hAnsi="Arial"/>
          <w:i/>
          <w:sz w:val="20"/>
        </w:rPr>
        <w:t>"Reference Entity"</w:t>
      </w:r>
      <w:r>
        <w:rPr>
          <w:rFonts w:cs="Arial" w:ascii="Arial" w:hAnsi="Arial"/>
          <w:sz w:val="20"/>
        </w:rPr>
        <w:t xml:space="preserve"> shall mean the entity in respect of which the Credit Product is being bought and sold as set out on this website and recorded in Enron’s electronic records in respect of a Transaction and any Successor. </w:t>
      </w:r>
    </w:p>
    <w:p>
      <w:pPr>
        <w:pStyle w:val="Normal"/>
        <w:numPr>
          <w:ilvl w:val="0"/>
          <w:numId w:val="0"/>
        </w:numPr>
        <w:ind w:start="720" w:end="0"/>
        <w:jc w:val="both"/>
        <w:outlineLvl w:val="0"/>
        <w:rPr/>
      </w:pPr>
      <w:r>
        <w:rPr>
          <w:rFonts w:cs="Arial" w:ascii="Arial" w:hAnsi="Arial"/>
          <w:i/>
          <w:sz w:val="20"/>
        </w:rPr>
        <w:t>"Scheduled Termination Date"</w:t>
      </w:r>
      <w:r>
        <w:rPr>
          <w:rFonts w:cs="Arial" w:ascii="Arial" w:hAnsi="Arial"/>
          <w:sz w:val="20"/>
        </w:rPr>
        <w:t xml:space="preserve"> shall mean in respect of a Transaction 12.01 a.m on the scheduled termination date set out on this website and recorded in Enron’s electronic records in respect of the Transaction or, if that day is not a Business Day, the immediately preceding Business Day.</w:t>
      </w:r>
    </w:p>
    <w:p>
      <w:pPr>
        <w:pStyle w:val="Normal"/>
        <w:numPr>
          <w:ilvl w:val="0"/>
          <w:numId w:val="0"/>
        </w:numPr>
        <w:ind w:start="720" w:end="0"/>
        <w:jc w:val="both"/>
        <w:outlineLvl w:val="0"/>
        <w:rPr/>
      </w:pPr>
      <w:r>
        <w:rPr>
          <w:rFonts w:cs="Arial" w:ascii="Arial" w:hAnsi="Arial"/>
          <w:i/>
          <w:sz w:val="20"/>
        </w:rPr>
        <w:t>"Seller"</w:t>
      </w:r>
      <w:r>
        <w:rPr>
          <w:rFonts w:cs="Arial" w:ascii="Arial" w:hAnsi="Arial"/>
          <w:sz w:val="20"/>
        </w:rPr>
        <w:t xml:space="preserve"> shall mean the Seller of the Credit Product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w:t>
      </w:r>
      <w:r>
        <w:rPr>
          <w:rFonts w:cs="Arial" w:ascii="Arial" w:hAnsi="Arial"/>
          <w:sz w:val="20"/>
        </w:rPr>
        <w:t xml:space="preserve"> shall mean the amount to be paid by the Seller in accordance with the terms of the GTC following the occurrence of a Bankruptcy Event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 Date"</w:t>
      </w:r>
      <w:r>
        <w:rPr>
          <w:rFonts w:cs="Arial" w:ascii="Arial" w:hAnsi="Arial"/>
          <w:sz w:val="20"/>
        </w:rPr>
        <w:t xml:space="preserve"> shall mean the date falling five Business Days after the date on which a valid Bankruptcy Event Notice and a Notice of Publicly Available Information is delivered by one party to the other. </w:t>
      </w:r>
    </w:p>
    <w:p>
      <w:pPr>
        <w:pStyle w:val="Normal"/>
        <w:numPr>
          <w:ilvl w:val="0"/>
          <w:numId w:val="0"/>
        </w:numPr>
        <w:ind w:start="720" w:end="0"/>
        <w:jc w:val="both"/>
        <w:outlineLvl w:val="0"/>
        <w:rPr/>
      </w:pPr>
      <w:r>
        <w:rPr>
          <w:rFonts w:cs="Arial" w:ascii="Arial" w:hAnsi="Arial"/>
          <w:i/>
          <w:sz w:val="20"/>
        </w:rPr>
        <w:t>"Successor"</w:t>
      </w:r>
      <w:r>
        <w:rPr>
          <w:rFonts w:cs="Arial" w:ascii="Arial" w:hAnsi="Arial"/>
          <w:sz w:val="20"/>
        </w:rPr>
        <w:t xml:space="preserve">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 </w:t>
      </w:r>
    </w:p>
    <w:p>
      <w:pPr>
        <w:pStyle w:val="Normal"/>
        <w:numPr>
          <w:ilvl w:val="0"/>
          <w:numId w:val="0"/>
        </w:numPr>
        <w:ind w:start="720" w:end="0"/>
        <w:jc w:val="both"/>
        <w:outlineLvl w:val="0"/>
        <w:rPr/>
      </w:pPr>
      <w:r>
        <w:rPr>
          <w:rFonts w:cs="Arial" w:ascii="Arial" w:hAnsi="Arial"/>
          <w:i/>
          <w:sz w:val="20"/>
        </w:rPr>
        <w:t>"Tax"</w:t>
      </w:r>
      <w:r>
        <w:rPr>
          <w:rFonts w:cs="Arial" w:ascii="Arial" w:hAnsi="Arial"/>
          <w:sz w:val="20"/>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numPr>
          <w:ilvl w:val="0"/>
          <w:numId w:val="0"/>
        </w:numPr>
        <w:ind w:start="720" w:end="0"/>
        <w:jc w:val="both"/>
        <w:outlineLvl w:val="0"/>
        <w:rPr/>
      </w:pPr>
      <w:r>
        <w:rPr>
          <w:rFonts w:cs="Arial" w:ascii="Arial" w:hAnsi="Arial"/>
          <w:i/>
          <w:sz w:val="20"/>
        </w:rPr>
        <w:t xml:space="preserve">"Trade Date" </w:t>
      </w:r>
      <w:r>
        <w:rPr>
          <w:rFonts w:cs="Arial" w:ascii="Arial" w:hAnsi="Arial"/>
          <w:sz w:val="20"/>
        </w:rPr>
        <w:t>shall mean the date the parties enter into a Transaction as set out on this website and recorded in Enron’s electronic records in respect of that Transaction.</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times are to the times set out in Paragraph 3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any statutes or other legislation are to such statutes or legislation as amended, modified, replaced or re-enacted from time to time.</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SCHEDULE</w:t>
      </w:r>
    </w:p>
    <w:p>
      <w:pPr>
        <w:pStyle w:val="Normal"/>
        <w:numPr>
          <w:ilvl w:val="0"/>
          <w:numId w:val="0"/>
        </w:numPr>
        <w:ind w:start="720" w:end="0"/>
        <w:jc w:val="center"/>
        <w:outlineLvl w:val="0"/>
        <w:rPr>
          <w:rFonts w:ascii="Arial" w:hAnsi="Arial" w:cs="Arial"/>
          <w:b/>
          <w:sz w:val="20"/>
        </w:rPr>
      </w:pPr>
      <w:r>
        <w:rPr>
          <w:rFonts w:cs="Arial" w:ascii="Arial" w:hAnsi="Arial"/>
          <w:b/>
          <w:sz w:val="20"/>
        </w:rPr>
        <w:t>Amendments to the GTC</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8"/>
        </w:numPr>
        <w:tabs>
          <w:tab w:val="left" w:pos="720" w:leader="none"/>
        </w:tabs>
        <w:outlineLvl w:val="0"/>
        <w:rPr>
          <w:rFonts w:ascii="Arial" w:hAnsi="Arial" w:cs="Arial"/>
          <w:b/>
          <w:sz w:val="20"/>
        </w:rPr>
      </w:pPr>
      <w:r>
        <w:rPr>
          <w:rFonts w:cs="Arial" w:ascii="Arial" w:hAnsi="Arial"/>
          <w:b/>
          <w:sz w:val="20"/>
        </w:rPr>
        <w:t>Governing law and jurisdiction</w:t>
      </w:r>
    </w:p>
    <w:p>
      <w:pPr>
        <w:pStyle w:val="BodyTextIndent"/>
        <w:rPr/>
      </w:pPr>
      <w:r>
        <w:rPr/>
        <w:t>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w:t>
      </w:r>
    </w:p>
    <w:p>
      <w:pPr>
        <w:pStyle w:val="BodyTextIndent"/>
        <w:rPr/>
      </w:pPr>
      <w:r>
        <w:rPr/>
        <w:t xml:space="preserve">Where Counterparty to a Transaction is incorporated or organised in the United Stated or Canada, the Transaction and this GTC shall be governed by, interpreted and construed in accordance with the laws of the State of New York (excluding conflict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 xml:space="preserve">Business Day </w:t>
      </w:r>
    </w:p>
    <w:p>
      <w:pPr>
        <w:pStyle w:val="Normal"/>
        <w:numPr>
          <w:ilvl w:val="0"/>
          <w:numId w:val="0"/>
        </w:numPr>
        <w:ind w:start="720" w:end="0"/>
        <w:jc w:val="both"/>
        <w:outlineLvl w:val="0"/>
        <w:rPr/>
      </w:pPr>
      <w:r>
        <w:rPr>
          <w:rFonts w:cs="Arial" w:ascii="Arial" w:hAnsi="Arial"/>
          <w:sz w:val="20"/>
        </w:rPr>
        <w:t>Where Counterparty to a Transaction is incorporated or organised outside of the United States or Canada, "</w:t>
      </w:r>
      <w:r>
        <w:rPr>
          <w:rFonts w:cs="Arial" w:ascii="Arial" w:hAnsi="Arial"/>
          <w:i/>
          <w:sz w:val="20"/>
        </w:rPr>
        <w:t>Business Day</w:t>
      </w:r>
      <w:r>
        <w:rPr>
          <w:rFonts w:cs="Arial" w:ascii="Arial" w:hAnsi="Arial"/>
          <w:sz w:val="20"/>
        </w:rPr>
        <w:t>" shall mean a day (other than a Saturday or Sunday) on which commercial banks are open for domestic business in London. Where Counterparty to a Transaction is incorporated or organised in the United States or Canada, "</w:t>
      </w:r>
      <w:r>
        <w:rPr>
          <w:rFonts w:cs="Arial" w:ascii="Arial" w:hAnsi="Arial"/>
          <w:i/>
          <w:sz w:val="20"/>
        </w:rPr>
        <w:t>Business Day</w:t>
      </w:r>
      <w:r>
        <w:rPr>
          <w:rFonts w:cs="Arial" w:ascii="Arial" w:hAnsi="Arial"/>
          <w:sz w:val="20"/>
        </w:rPr>
        <w:t>" shall mean a day (other than a Saturday or Sunday) on which commercial banks are open for domestic business in New York.</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Times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Counterparty to a Transaction is incorporated or organised outside of the United States or Canada, references to times shall be construed as references to London time. Where Counterparty to a Transaction is incorporated or organised in the United States or Canada, references to time shall be construed as references to Central Standard Time in the United States.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Exclusion of third party rights</w:t>
      </w:r>
    </w:p>
    <w:p>
      <w:pPr>
        <w:pStyle w:val="Normal"/>
        <w:numPr>
          <w:ilvl w:val="0"/>
          <w:numId w:val="0"/>
        </w:numPr>
        <w:ind w:start="720" w:end="0"/>
        <w:jc w:val="both"/>
        <w:outlineLvl w:val="0"/>
        <w:rPr>
          <w:rFonts w:ascii="Arial" w:hAnsi="Arial" w:cs="Arial"/>
          <w:sz w:val="20"/>
        </w:rPr>
      </w:pPr>
      <w:r>
        <w:rPr>
          <w:rFonts w:cs="Arial" w:ascii="Arial" w:hAnsi="Arial"/>
          <w:sz w:val="20"/>
        </w:rPr>
        <w:t>Where pursuant to Paragraph 1 of this Schedule this GTC is to be governed by the laws of England, the parties do not intend that any term of this GTC should be enforceable, by virtue of the Contracts (Rights of Third Parties) Act 1999, by any person who is not a party to this GTC.</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Events of Default</w:t>
      </w:r>
    </w:p>
    <w:p>
      <w:pPr>
        <w:pStyle w:val="Normal"/>
        <w:ind w:start="720" w:end="0"/>
        <w:jc w:val="both"/>
        <w:rPr>
          <w:rFonts w:ascii="Arial" w:hAnsi="Arial" w:cs="Arial"/>
          <w:sz w:val="20"/>
        </w:rPr>
      </w:pPr>
      <w:r>
        <w:rPr>
          <w:rFonts w:cs="Arial" w:ascii="Arial" w:hAnsi="Arial"/>
          <w:sz w:val="20"/>
        </w:rPr>
        <w:t>Where Counterparty to a Transaction is incorporated or organised in Germany:</w:t>
      </w:r>
    </w:p>
    <w:p>
      <w:pPr>
        <w:pStyle w:val="Normal"/>
        <w:ind w:start="1440" w:end="0"/>
        <w:jc w:val="both"/>
        <w:rPr>
          <w:rFonts w:ascii="Arial" w:hAnsi="Arial" w:cs="Arial"/>
          <w:sz w:val="20"/>
        </w:rPr>
      </w:pPr>
      <w:r>
        <w:rPr>
          <w:rFonts w:cs="Arial" w:ascii="Arial" w:hAnsi="Arial"/>
          <w:sz w:val="20"/>
        </w:rPr>
        <w:t>(a)</w:t>
        <w:tab/>
        <w:t>the words "save that, upon the occurrence of an Event of Default specified in Section 4(d), the date of occurrence of the Event of Default shall automatically be designated as an Early Termination Date" shall be inserted at the end of the first sentence of the first paragraph of Section 5; and</w:t>
      </w:r>
    </w:p>
    <w:p>
      <w:pPr>
        <w:pStyle w:val="Normal"/>
        <w:ind w:start="1440" w:end="0"/>
        <w:jc w:val="both"/>
        <w:rPr>
          <w:rFonts w:ascii="Arial" w:hAnsi="Arial" w:cs="Arial"/>
          <w:sz w:val="20"/>
        </w:rPr>
      </w:pPr>
      <w:r>
        <w:rPr>
          <w:rFonts w:cs="Arial" w:ascii="Arial" w:hAnsi="Arial"/>
          <w:sz w:val="20"/>
        </w:rPr>
        <w:t>(b)</w:t>
        <w:tab/>
        <w:t>the third sentence of Section 6 shall be deleted.</w:t>
      </w:r>
    </w:p>
    <w:p>
      <w:pPr>
        <w:pStyle w:val="Normal"/>
        <w:spacing w:before="100" w:after="100"/>
        <w:ind w:start="1440" w:end="0"/>
        <w:jc w:val="both"/>
        <w:rPr>
          <w:rFonts w:ascii="Arial" w:hAnsi="Arial" w:cs="Arial"/>
          <w:sz w:val="20"/>
        </w:rPr>
      </w:pPr>
      <w:r>
        <w:rPr>
          <w:rFonts w:cs="Arial" w:ascii="Arial" w:hAnsi="Arial"/>
          <w:sz w:val="20"/>
        </w:rPr>
        <w:t> </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upperLetter"/>
      <w:lvlText w:val="%3."/>
      <w:lvlJc w:val="start"/>
      <w:pPr>
        <w:tabs>
          <w:tab w:val="num" w:pos="0"/>
        </w:tabs>
        <w:ind w:start="0" w:hanging="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num>
  <w:num w:numId="8">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BodyTextIndent">
    <w:name w:val="Body Text Indent"/>
    <w:basedOn w:val="Normal"/>
    <w:pPr>
      <w:ind w:hanging="0" w:start="720" w:end="0"/>
      <w:jc w:val="both"/>
      <w:outlineLvl w:val="0"/>
    </w:pPr>
    <w:rPr>
      <w:rFonts w:ascii="Arial" w:hAnsi="Arial" w:cs="Arial"/>
      <w:b/>
      <w:sz w:val="20"/>
    </w:rPr>
  </w:style>
  <w:style w:type="paragraph" w:styleId="BodyTextIndent2">
    <w:name w:val="Body Text Indent 2"/>
    <w:basedOn w:val="Normal"/>
    <w:qFormat/>
    <w:pPr>
      <w:numPr>
        <w:ilvl w:val="0"/>
        <w:numId w:val="0"/>
      </w:numPr>
      <w:ind w:hanging="0" w:start="2160" w:end="0"/>
      <w:jc w:val="both"/>
      <w:outlineLvl w:val="2"/>
    </w:pPr>
    <w:rPr>
      <w:rFonts w:ascii="Arial" w:hAnsi="Arial" w:cs="Arial"/>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2000-02-17T07:32:00Z</dcterms:created>
  <dc:creator>NEdmonds</dc:creator>
  <dc:description/>
  <dc:language>en-CA</dc:language>
  <cp:lastModifiedBy>ECooper</cp:lastModifiedBy>
  <dcterms:modified xsi:type="dcterms:W3CDTF">2000-02-17T17:12:00Z</dcterms:modified>
  <cp:revision>4</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dp_Author">
    <vt:lpwstr>BCM</vt:lpwstr>
  </property>
  <property fmtid="{D5CDD505-2E9C-101B-9397-08002B2CF9AE}" pid="4" name="udp_BorderStyle">
    <vt:lpwstr>None</vt:lpwstr>
  </property>
  <property fmtid="{D5CDD505-2E9C-101B-9397-08002B2CF9AE}" pid="5" name="udp_CMNumber">
    <vt:lpwstr>000000/00000</vt:lpwstr>
  </property>
  <property fmtid="{D5CDD505-2E9C-101B-9397-08002B2CF9AE}" pid="6" name="udp_CatID">
    <vt:lpwstr> </vt:lpwstr>
  </property>
  <property fmtid="{D5CDD505-2E9C-101B-9397-08002B2CF9AE}" pid="7" name="udp_Class">
    <vt:lpwstr>SE</vt:lpwstr>
  </property>
  <property fmtid="{D5CDD505-2E9C-101B-9397-08002B2CF9AE}" pid="8" name="udp_Client">
    <vt:lpwstr>Bin Numbers</vt:lpwstr>
  </property>
  <property fmtid="{D5CDD505-2E9C-101B-9397-08002B2CF9AE}" pid="9" name="udp_Department">
    <vt:lpwstr> </vt:lpwstr>
  </property>
  <property fmtid="{D5CDD505-2E9C-101B-9397-08002B2CF9AE}" pid="10" name="udp_DocID">
    <vt:lpwstr>CACopy1</vt:lpwstr>
  </property>
  <property fmtid="{D5CDD505-2E9C-101B-9397-08002B2CF9AE}" pid="11" name="udp_IsAtlasDoc">
    <vt:lpwstr>1</vt:lpwstr>
  </property>
  <property fmtid="{D5CDD505-2E9C-101B-9397-08002B2CF9AE}" pid="12" name="udp_Justified">
    <vt:lpwstr>0</vt:lpwstr>
  </property>
  <property fmtid="{D5CDD505-2E9C-101B-9397-08002B2CF9AE}" pid="13" name="udp_Layout">
    <vt:lpwstr>Slaughter and May 1</vt:lpwstr>
  </property>
  <property fmtid="{D5CDD505-2E9C-101B-9397-08002B2CF9AE}" pid="14" name="udp_Matter">
    <vt:lpwstr>Bin Numbers</vt:lpwstr>
  </property>
  <property fmtid="{D5CDD505-2E9C-101B-9397-08002B2CF9AE}" pid="15" name="udp_Renumber">
    <vt:lpwstr>0</vt:lpwstr>
  </property>
  <property fmtid="{D5CDD505-2E9C-101B-9397-08002B2CF9AE}" pid="16" name="udp_TemplateVersion">
    <vt:lpwstr>1.02.0001</vt:lpwstr>
  </property>
  <property fmtid="{D5CDD505-2E9C-101B-9397-08002B2CF9AE}" pid="17" name="udp_Typist">
    <vt:lpwstr>Murphy, Benjamin</vt:lpwstr>
  </property>
  <property fmtid="{D5CDD505-2E9C-101B-9397-08002B2CF9AE}" pid="18" name="udp_Version">
    <vt:lpwstr>0</vt:lpwstr>
  </property>
</Properties>
</file>