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990215" cy="537210"/>
            <wp:effectExtent l="0" t="0" r="0" b="0"/>
            <wp:docPr id="1" name="NM%20logo%20_%20b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20logo%20_%20blue" descr="" title=""/>
                    <pic:cNvPicPr>
                      <a:picLocks noChangeAspect="1" noChangeArrowheads="1"/>
                    </pic:cNvPicPr>
                  </pic:nvPicPr>
                  <pic:blipFill>
                    <a:blip r:embed="rId2"/>
                    <a:srcRect l="-5" t="-29" r="-5" b="-29"/>
                    <a:stretch>
                      <a:fillRect/>
                    </a:stretch>
                  </pic:blipFill>
                  <pic:spPr bwMode="auto">
                    <a:xfrm>
                      <a:off x="0" y="0"/>
                      <a:ext cx="2990215" cy="537210"/>
                    </a:xfrm>
                    <a:prstGeom prst="rect">
                      <a:avLst/>
                    </a:prstGeom>
                    <a:noFill/>
                  </pic:spPr>
                </pic:pic>
              </a:graphicData>
            </a:graphic>
          </wp:inline>
        </w:drawing>
      </w:r>
    </w:p>
    <w:p>
      <w:pPr>
        <w:pStyle w:val="Normal"/>
        <w:ind w:end="720"/>
        <w:rPr/>
      </w:pPr>
      <w:r>
        <w:rPr/>
      </w:r>
    </w:p>
    <w:p>
      <w:pPr>
        <w:pStyle w:val="Normal"/>
        <w:ind w:end="720"/>
        <w:rPr>
          <w:rFonts w:ascii="CG Times" w:hAnsi="CG Times" w:cs="CG Times"/>
          <w:sz w:val="24"/>
        </w:rPr>
      </w:pPr>
      <w:r>
        <w:rPr>
          <w:rFonts w:cs="CG Times" w:ascii="CG Times" w:hAnsi="CG Times"/>
          <w:sz w:val="24"/>
        </w:rPr>
      </w:r>
    </w:p>
    <w:p>
      <w:pPr>
        <w:pStyle w:val="Normal"/>
        <w:rPr/>
      </w:pPr>
      <w:bookmarkStart w:id="0" w:name="QuickMark"/>
      <w:bookmarkEnd w:id="0"/>
      <w:r>
        <w:rPr>
          <w:b/>
        </w:rPr>
        <w:t>DATE:</w:t>
      </w:r>
      <w:r>
        <w:rPr/>
        <w:tab/>
        <w:tab/>
        <w:t>August 30, 2000</w:t>
      </w:r>
    </w:p>
    <w:p>
      <w:pPr>
        <w:pStyle w:val="Normal"/>
        <w:rPr/>
      </w:pPr>
      <w:r>
        <w:rPr/>
      </w:r>
    </w:p>
    <w:p>
      <w:pPr>
        <w:pStyle w:val="Normal"/>
        <w:rPr/>
      </w:pPr>
      <w:r>
        <w:rPr>
          <w:b/>
        </w:rPr>
        <w:t>TO:</w:t>
      </w:r>
      <w:r>
        <w:rPr/>
        <w:tab/>
        <w:tab/>
        <w:t>[COUNTERPARTY]</w:t>
      </w:r>
    </w:p>
    <w:p>
      <w:pPr>
        <w:pStyle w:val="Normal"/>
        <w:rPr/>
      </w:pPr>
      <w:r>
        <w:rPr/>
      </w:r>
    </w:p>
    <w:p>
      <w:pPr>
        <w:pStyle w:val="Normal"/>
        <w:rPr>
          <w:b/>
        </w:rPr>
      </w:pPr>
      <w:r>
        <w:rPr>
          <w:b/>
        </w:rPr>
        <w:t>ATTENTION:</w:t>
        <w:tab/>
      </w:r>
    </w:p>
    <w:p>
      <w:pPr>
        <w:pStyle w:val="Normal"/>
        <w:rPr>
          <w:b/>
        </w:rPr>
      </w:pPr>
      <w:r>
        <w:rPr>
          <w:b/>
        </w:rPr>
      </w:r>
    </w:p>
    <w:p>
      <w:pPr>
        <w:pStyle w:val="Normal"/>
        <w:rPr>
          <w:b/>
        </w:rPr>
      </w:pPr>
      <w:r>
        <w:rPr>
          <w:b/>
        </w:rPr>
        <w:t>FAX NO.:</w:t>
        <w:tab/>
      </w:r>
    </w:p>
    <w:p>
      <w:pPr>
        <w:pStyle w:val="Normal"/>
        <w:rPr>
          <w:b/>
        </w:rPr>
      </w:pPr>
      <w:r>
        <w:rPr>
          <w:b/>
        </w:rPr>
      </w:r>
    </w:p>
    <w:p>
      <w:pPr>
        <w:pStyle w:val="Normal"/>
        <w:rPr/>
      </w:pPr>
      <w:r>
        <w:rPr>
          <w:b/>
        </w:rPr>
        <w:t>FROM:</w:t>
      </w:r>
      <w:r>
        <w:rPr/>
        <w:tab/>
        <w:tab/>
        <w:t>NIAGARA MOHAWK POWER CORPORATION</w:t>
      </w:r>
    </w:p>
    <w:p>
      <w:pPr>
        <w:pStyle w:val="Normal"/>
        <w:rPr/>
      </w:pPr>
      <w:r>
        <w:rPr/>
      </w:r>
    </w:p>
    <w:p>
      <w:pPr>
        <w:pStyle w:val="Normal"/>
        <w:rPr/>
      </w:pPr>
      <w:r>
        <w:rPr>
          <w:b/>
        </w:rPr>
        <w:t>RE:</w:t>
      </w:r>
      <w:r>
        <w:rPr/>
        <w:tab/>
        <w:tab/>
        <w:t>SWAP TRANSACTION</w:t>
      </w:r>
    </w:p>
    <w:p>
      <w:pPr>
        <w:pStyle w:val="FootnoteText"/>
        <w:rPr/>
      </w:pPr>
      <w:r>
        <w:rPr/>
        <w:t>____________________________________________________________</w:t>
      </w:r>
    </w:p>
    <w:p>
      <w:pPr>
        <w:pStyle w:val="Normal"/>
        <w:rPr/>
      </w:pPr>
      <w:r>
        <w:rPr/>
      </w:r>
    </w:p>
    <w:p>
      <w:pPr>
        <w:pStyle w:val="Normal"/>
        <w:ind w:firstLine="720" w:end="0"/>
        <w:rPr/>
      </w:pPr>
      <w:r>
        <w:rPr/>
        <w:t>The purpose of this letter agreement is to confirm the terms and conditions of the transaction entered into between us on the Trade Date specified below (the "Transaction").</w:t>
      </w:r>
    </w:p>
    <w:p>
      <w:pPr>
        <w:pStyle w:val="Normal"/>
        <w:rPr/>
      </w:pPr>
      <w:r>
        <w:rPr/>
      </w:r>
    </w:p>
    <w:p>
      <w:pPr>
        <w:pStyle w:val="Normal"/>
        <w:ind w:firstLine="720" w:end="0"/>
        <w:rPr/>
      </w:pPr>
      <w:r>
        <w:rPr/>
        <w:t>This letter agreement constitutes a "Confirmation" as referred to herein, and if applicable, pursuant to Section 1, supplements, forms a part of and is subject to, the ISDA Master Agreement, dated as of _________, 2000 as amended and supplemented from time to time (the "Agreement"), between [COUNTERPARTY] ("Party A") and Niagara Mohawk Power Corporation ("Party B"), each a “Party”, collectively the “Parties”.  All provisions contained in the Agreement govern this Confirmation except as expressly modified below.</w:t>
      </w:r>
    </w:p>
    <w:p>
      <w:pPr>
        <w:pStyle w:val="Normal"/>
        <w:rPr/>
      </w:pPr>
      <w:r>
        <w:rPr/>
      </w:r>
    </w:p>
    <w:p>
      <w:pPr>
        <w:pStyle w:val="Normal"/>
        <w:ind w:firstLine="720" w:end="0"/>
        <w:rPr/>
      </w:pPr>
      <w:r>
        <w:rPr/>
        <w:t xml:space="preserve">The terms of the Transaction to which this Confirmation relates are as follows: </w:t>
      </w:r>
    </w:p>
    <w:p>
      <w:pPr>
        <w:pStyle w:val="Normal"/>
        <w:rPr/>
      </w:pPr>
      <w:r>
        <w:rPr/>
      </w:r>
    </w:p>
    <w:p>
      <w:pPr>
        <w:pStyle w:val="Normal"/>
        <w:rPr/>
      </w:pPr>
      <w:r>
        <w:rPr>
          <w:b/>
        </w:rPr>
        <w:t>THE OBLIGATIONS INCURRED PURSUANT TO THIS TRANSACTION SHALL REQUIRE CASH PAYMENTS AND SHALL IN NO EVENT BE INTERPRETED TO REQUIRE THE PURCHASE OR SALE OF NATURAL GAS</w:t>
      </w:r>
      <w:r>
        <w:rPr/>
        <w:t>.</w:t>
      </w:r>
    </w:p>
    <w:p>
      <w:pPr>
        <w:pStyle w:val="Normal"/>
        <w:rPr/>
      </w:pPr>
      <w:r>
        <w:rPr/>
      </w:r>
    </w:p>
    <w:p>
      <w:pPr>
        <w:pStyle w:val="Normal"/>
        <w:rPr>
          <w:u w:val="single"/>
        </w:rPr>
      </w:pPr>
      <w:r>
        <w:rPr>
          <w:u w:val="single"/>
        </w:rPr>
      </w:r>
    </w:p>
    <w:p>
      <w:pPr>
        <w:pStyle w:val="Normal"/>
        <w:rPr/>
      </w:pPr>
      <w:r>
        <w:rPr>
          <w:b/>
        </w:rPr>
        <w:t>1.</w:t>
        <w:tab/>
      </w:r>
      <w:r>
        <w:rPr>
          <w:b/>
          <w:u w:val="single"/>
        </w:rPr>
        <w:t>Master Agreement</w:t>
      </w:r>
      <w:r>
        <w:rPr>
          <w:b/>
        </w:rPr>
        <w:t xml:space="preserve"> </w:t>
      </w:r>
    </w:p>
    <w:p>
      <w:pPr>
        <w:pStyle w:val="Normal"/>
        <w:rPr>
          <w:b/>
        </w:rPr>
      </w:pPr>
      <w:r>
        <w:rPr>
          <w:b/>
        </w:rPr>
      </w:r>
    </w:p>
    <w:p>
      <w:pPr>
        <w:pStyle w:val="Normal"/>
        <w:tabs>
          <w:tab w:val="clear" w:pos="720"/>
          <w:tab w:val="left" w:pos="-1440" w:leader="none"/>
        </w:tabs>
        <w:rPr/>
      </w:pPr>
      <w:r>
        <w:rPr/>
        <w:tab/>
        <w:t xml:space="preserve">If there is no existing ISDA Master Swap Agreement in place between the Parties, the Parties agree to negotiate in good faith a master agreement (“Master Agreement”).  Upon execution of the Master Agreement, this Confirmation shall supplement, form a part of, and be subject to, the Master Agreement, as amended and supplemented from time to time between Party A and Party B, which Agreement will then govern this Confirmation except as expressly modified in Section 2 through 4 below.  For avoidance of doubt, upon execution of the Master Agreement, the terms and conditions of Sections 5 through 9 shall be superseded by the terms and conditions of the Master Agreement. Until the execution of a Master Agreement, this Confirmation will serve as the binding agreement between the Parties. </w:t>
      </w:r>
    </w:p>
    <w:p>
      <w:pPr>
        <w:pStyle w:val="Normal"/>
        <w:tabs>
          <w:tab w:val="clear" w:pos="720"/>
          <w:tab w:val="left" w:pos="-1440" w:leader="none"/>
        </w:tabs>
        <w:ind w:hanging="720" w:start="720" w:end="0"/>
        <w:rPr/>
      </w:pPr>
      <w:r>
        <w:rPr/>
      </w:r>
    </w:p>
    <w:p>
      <w:pPr>
        <w:pStyle w:val="Normal"/>
        <w:tabs>
          <w:tab w:val="clear" w:pos="720"/>
          <w:tab w:val="left" w:pos="-1440" w:leader="none"/>
        </w:tabs>
        <w:rPr>
          <w:b/>
        </w:rPr>
      </w:pPr>
      <w:r>
        <w:rPr>
          <w:b/>
        </w:rPr>
        <w:t>2.</w:t>
        <w:tab/>
      </w:r>
      <w:r>
        <w:rPr>
          <w:b/>
          <w:u w:val="single"/>
        </w:rPr>
        <w:t>General Terms</w:t>
      </w:r>
    </w:p>
    <w:p>
      <w:pPr>
        <w:pStyle w:val="Normal"/>
        <w:tabs>
          <w:tab w:val="clear" w:pos="720"/>
          <w:tab w:val="left" w:pos="-1440" w:leader="none"/>
        </w:tabs>
        <w:rPr>
          <w:b/>
        </w:rPr>
      </w:pPr>
      <w:r>
        <w:rPr>
          <w:b/>
        </w:rPr>
      </w:r>
    </w:p>
    <w:p>
      <w:pPr>
        <w:pStyle w:val="Normal"/>
        <w:tabs>
          <w:tab w:val="clear" w:pos="720"/>
          <w:tab w:val="left" w:pos="-1440" w:leader="none"/>
        </w:tabs>
        <w:ind w:hanging="2160" w:start="2880" w:end="0"/>
        <w:rPr/>
      </w:pPr>
      <w:r>
        <w:rPr/>
        <w:t>Trade Date:</w:t>
        <w:tab/>
        <w:tab/>
        <w:t>August 30, 2000</w:t>
      </w:r>
    </w:p>
    <w:p>
      <w:pPr>
        <w:pStyle w:val="Normal"/>
        <w:rPr/>
      </w:pPr>
      <w:r>
        <w:rPr/>
      </w:r>
    </w:p>
    <w:p>
      <w:pPr>
        <w:pStyle w:val="Normal"/>
        <w:ind w:start="720" w:end="0"/>
        <w:rPr/>
      </w:pPr>
      <w:r>
        <w:rPr/>
        <w:t>Effective Date:</w:t>
        <w:tab/>
        <w:tab/>
        <w:tab/>
        <w:t>[October 1, 2000] [April 1, 2001]</w:t>
      </w:r>
    </w:p>
    <w:p>
      <w:pPr>
        <w:pStyle w:val="Normal"/>
        <w:rPr/>
      </w:pPr>
      <w:r>
        <w:rPr/>
      </w:r>
    </w:p>
    <w:p>
      <w:pPr>
        <w:pStyle w:val="Normal"/>
        <w:ind w:start="720" w:end="0"/>
        <w:rPr/>
      </w:pPr>
      <w:r>
        <w:rPr/>
        <w:t>Termination Date:</w:t>
        <w:tab/>
        <w:tab/>
        <w:t>[March 31, 2001] [August 31, 2001]</w:t>
      </w:r>
    </w:p>
    <w:p>
      <w:pPr>
        <w:pStyle w:val="Normal"/>
        <w:ind w:start="720" w:end="0"/>
        <w:rPr/>
      </w:pPr>
      <w:r>
        <w:rPr/>
      </w:r>
    </w:p>
    <w:p>
      <w:pPr>
        <w:pStyle w:val="Normal"/>
        <w:tabs>
          <w:tab w:val="clear" w:pos="720"/>
          <w:tab w:val="left" w:pos="-1440" w:leader="none"/>
        </w:tabs>
        <w:ind w:hanging="2880" w:start="3600" w:end="0"/>
        <w:rPr/>
      </w:pPr>
      <w:r>
        <w:rPr/>
        <w:t>Calculation Agent:</w:t>
        <w:tab/>
        <w:t>Niagara Mohawk Power Corporation</w:t>
      </w:r>
    </w:p>
    <w:p>
      <w:pPr>
        <w:pStyle w:val="Normal"/>
        <w:rPr/>
      </w:pPr>
      <w:r>
        <w:rPr/>
      </w:r>
    </w:p>
    <w:p>
      <w:pPr>
        <w:pStyle w:val="Normal"/>
        <w:rPr>
          <w:b/>
        </w:rPr>
      </w:pPr>
      <w:r>
        <w:rPr>
          <w:b/>
        </w:rPr>
        <w:t>3.</w:t>
        <w:tab/>
      </w:r>
      <w:r>
        <w:rPr>
          <w:b/>
          <w:u w:val="single"/>
        </w:rPr>
        <w:t>Payments</w:t>
      </w:r>
    </w:p>
    <w:p>
      <w:pPr>
        <w:pStyle w:val="Normal"/>
        <w:rPr>
          <w:b/>
        </w:rPr>
      </w:pPr>
      <w:r>
        <w:rPr>
          <w:b/>
        </w:rPr>
      </w:r>
    </w:p>
    <w:p>
      <w:pPr>
        <w:pStyle w:val="Normal"/>
        <w:tabs>
          <w:tab w:val="clear" w:pos="720"/>
          <w:tab w:val="left" w:pos="-1440" w:leader="none"/>
        </w:tabs>
        <w:ind w:hanging="2880" w:start="3600" w:end="0"/>
        <w:rPr/>
      </w:pPr>
      <w:r>
        <w:rPr/>
        <w:t>Settlement Dates:</w:t>
        <w:tab/>
        <w:t>The last day of each calendar month during the term of this Transaction.</w:t>
      </w:r>
    </w:p>
    <w:p>
      <w:pPr>
        <w:pStyle w:val="Normal"/>
        <w:rPr/>
      </w:pPr>
      <w:r>
        <w:rPr/>
      </w:r>
    </w:p>
    <w:p>
      <w:pPr>
        <w:pStyle w:val="Normal"/>
        <w:tabs>
          <w:tab w:val="clear" w:pos="720"/>
          <w:tab w:val="left" w:pos="-1440" w:leader="none"/>
        </w:tabs>
        <w:ind w:hanging="2880" w:start="3600" w:end="0"/>
        <w:rPr/>
      </w:pPr>
      <w:r>
        <w:rPr/>
        <w:t>Settlement Periods:</w:t>
        <w:tab/>
        <w:t>With respect to each Settlement Date, “Settlement Period” means the period from (but excluding) the immediately preceding Settlement Date (or, in the case of the first Settlement Date, from and including the Effective Date) to (and including) such Settlement Date (or, in the case of the last Settlement Date, to and including the Termination Date).</w:t>
      </w:r>
    </w:p>
    <w:p>
      <w:pPr>
        <w:pStyle w:val="Normal"/>
        <w:rPr/>
      </w:pPr>
      <w:r>
        <w:rPr/>
      </w:r>
    </w:p>
    <w:p>
      <w:pPr>
        <w:pStyle w:val="BodyText3"/>
        <w:ind w:hanging="2880" w:start="3600" w:end="0"/>
        <w:rPr/>
      </w:pPr>
      <w:r>
        <w:rPr/>
        <w:t>Payment Dates:</w:t>
        <w:tab/>
        <w:t xml:space="preserve">With respect to each Settlement Date or Settlement Period, “Payment Date” means the 25th day of the calendar month immediately after such Settlement Date or Settlement Period, as the case may be, subject to adjustment in accordance with the Following Business Day Convention. Payment shall be made without offset, deduction, discount or counterclaim (except as provided in Section 7 below or unless one Party has raised a dispute with respect to the calculation), in US dollars in immediately available funds to the bank account specified in Section 10 designated by the Party to which payment is due in an invoice or other written notice. Any amount not paid when due shall accrue interest at the rate of two percent (2%) above the prime rate published by the Wall Street Journal, compounded annually from the due date, or the maximum rate allowed by law, if lower. </w:t>
      </w:r>
    </w:p>
    <w:p>
      <w:pPr>
        <w:pStyle w:val="BodyText3"/>
        <w:rPr/>
      </w:pPr>
      <w:r>
        <w:rPr/>
      </w:r>
    </w:p>
    <w:p>
      <w:pPr>
        <w:pStyle w:val="BodyTextIndent"/>
        <w:ind w:hanging="2880" w:end="0"/>
        <w:rPr/>
      </w:pPr>
      <w:r>
        <w:rPr/>
        <w:t xml:space="preserve">Payment Disputes: </w:t>
        <w:tab/>
        <w:t>If Party A or Party B, in good faith, disputes any part of an invoice or calculation, it shall provide a written explanation of the basis for the dispute and pay the undisputed portion of such amount no later than the Payment Date.  If any amount disputed is determined to be due to either Party A or Party B, it shall be paid within ten (10) Business Days of such determination, along with any interest owing from the original Payment Date until the date paid. The existence of a dispute as to any statement or calculation shall not relieve either Party of compliance with any other provisions of this Agreement.</w:t>
      </w:r>
    </w:p>
    <w:p>
      <w:pPr>
        <w:pStyle w:val="Normal"/>
        <w:rPr/>
      </w:pPr>
      <w:r>
        <w:rPr/>
      </w:r>
    </w:p>
    <w:p>
      <w:pPr>
        <w:pStyle w:val="Normal"/>
        <w:tabs>
          <w:tab w:val="clear" w:pos="720"/>
          <w:tab w:val="left" w:pos="-1440" w:leader="none"/>
        </w:tabs>
        <w:ind w:hanging="2880" w:start="3600" w:end="0"/>
        <w:rPr/>
      </w:pPr>
      <w:r>
        <w:rPr/>
        <w:t>Payment Calculations:</w:t>
        <w:tab/>
        <w:t>Not less than 5 Business Days prior to each Payment Date, the Calculation Agent shall calculate the amounts payable by each Party on such Payment Date and shall notify the other Party thereof (including reasonable detail with respect to such calculation).</w:t>
      </w:r>
    </w:p>
    <w:p>
      <w:pPr>
        <w:pStyle w:val="Normal"/>
        <w:tabs>
          <w:tab w:val="clear" w:pos="720"/>
          <w:tab w:val="left" w:pos="-1440" w:leader="none"/>
        </w:tabs>
        <w:ind w:hanging="2880" w:start="3600" w:end="0"/>
        <w:rPr/>
      </w:pPr>
      <w:r>
        <w:rPr/>
      </w:r>
    </w:p>
    <w:p>
      <w:pPr>
        <w:pStyle w:val="BodyTextIndent2"/>
        <w:rPr>
          <w:sz w:val="20"/>
        </w:rPr>
      </w:pPr>
      <w:r>
        <w:rPr>
          <w:sz w:val="20"/>
        </w:rPr>
        <w:t>Payment Amounts:</w:t>
        <w:tab/>
        <w:t>On each Payment Date: (i) Party B shall pay to Party A the Fixed Payment Obligation, and (ii) Party A shall pay to Party B the Floating Payment Obligation.</w:t>
      </w:r>
    </w:p>
    <w:p>
      <w:pPr>
        <w:pStyle w:val="Normal"/>
        <w:ind w:start="3600" w:end="0"/>
        <w:rPr>
          <w:sz w:val="20"/>
        </w:rPr>
      </w:pPr>
      <w:r>
        <w:rPr>
          <w:sz w:val="20"/>
        </w:rPr>
      </w:r>
    </w:p>
    <w:p>
      <w:pPr>
        <w:pStyle w:val="Normal"/>
        <w:ind w:start="3600" w:end="0"/>
        <w:rPr/>
      </w:pPr>
      <w:r>
        <w:rPr/>
        <w:t>All payment obligations shall be paid on a net basis pursuant to Section 2(c) of the Agreement.</w:t>
      </w:r>
    </w:p>
    <w:p>
      <w:pPr>
        <w:pStyle w:val="Normal"/>
        <w:rPr/>
      </w:pPr>
      <w:r>
        <w:rPr/>
      </w:r>
    </w:p>
    <w:p>
      <w:pPr>
        <w:pStyle w:val="Normal"/>
        <w:tabs>
          <w:tab w:val="clear" w:pos="720"/>
          <w:tab w:val="left" w:pos="-1440" w:leader="none"/>
        </w:tabs>
        <w:rPr>
          <w:b/>
        </w:rPr>
      </w:pPr>
      <w:r>
        <w:rPr>
          <w:b/>
        </w:rPr>
        <w:t>4.</w:t>
        <w:tab/>
      </w:r>
      <w:r>
        <w:rPr>
          <w:b/>
          <w:u w:val="single"/>
        </w:rPr>
        <w:t>Definitions</w:t>
      </w:r>
    </w:p>
    <w:p>
      <w:pPr>
        <w:pStyle w:val="Header"/>
        <w:tabs>
          <w:tab w:val="clear" w:pos="4320"/>
          <w:tab w:val="clear" w:pos="8640"/>
          <w:tab w:val="left" w:pos="-1440" w:leader="none"/>
        </w:tabs>
        <w:rPr>
          <w:b/>
        </w:rPr>
      </w:pPr>
      <w:r>
        <w:rPr>
          <w:b/>
        </w:rPr>
      </w:r>
    </w:p>
    <w:p>
      <w:pPr>
        <w:pStyle w:val="Normal"/>
        <w:ind w:firstLine="720" w:end="0"/>
        <w:rPr/>
      </w:pPr>
      <w:r>
        <w:rPr/>
        <w:t>All terms in this Confirmation not defined herein shall have the meanings set forth in the 1991 ISDA Definitions and the 1993 ISDA Commodity Derivatives Definitions.</w:t>
      </w:r>
    </w:p>
    <w:p>
      <w:pPr>
        <w:pStyle w:val="Normal"/>
        <w:rPr/>
      </w:pPr>
      <w:r>
        <w:rPr/>
      </w:r>
    </w:p>
    <w:p>
      <w:pPr>
        <w:pStyle w:val="Normal"/>
        <w:tabs>
          <w:tab w:val="clear" w:pos="720"/>
          <w:tab w:val="left" w:pos="-1440" w:leader="none"/>
        </w:tabs>
        <w:ind w:firstLine="720" w:end="0"/>
        <w:rPr/>
      </w:pPr>
      <w:r>
        <w:rPr/>
        <w:t>“</w:t>
      </w:r>
      <w:r>
        <w:rPr>
          <w:u w:val="single"/>
        </w:rPr>
        <w:t>Business Day</w:t>
      </w:r>
      <w:r>
        <w:rPr/>
        <w:t>”: Any day other than Saturday, Sunday and any day which is a legal holiday or a day on which banking institutions in New York City are authorized by law or other governmental action to close.  A Business Day shall open at 8:00 a.m. and close at 5:00 p.m. Eastern Standard (or Daylight if applicable) time.</w:t>
      </w:r>
    </w:p>
    <w:p>
      <w:pPr>
        <w:pStyle w:val="Normal"/>
        <w:ind w:firstLine="720" w:end="0"/>
        <w:rPr/>
      </w:pPr>
      <w:r>
        <w:rPr/>
      </w:r>
    </w:p>
    <w:p>
      <w:pPr>
        <w:pStyle w:val="Normal"/>
        <w:ind w:firstLine="720" w:end="0"/>
        <w:rPr/>
      </w:pPr>
      <w:r>
        <w:rPr/>
        <w:t>"</w:t>
      </w:r>
      <w:r>
        <w:rPr>
          <w:u w:val="single"/>
        </w:rPr>
        <w:t>Fixed Payment Obligation</w:t>
      </w:r>
      <w:r>
        <w:rPr/>
        <w:t>": For each Settlement Period, an amount equal to the absolute value of the product of the Notional Quantity and the Fixed Price.</w:t>
      </w:r>
    </w:p>
    <w:p>
      <w:pPr>
        <w:pStyle w:val="Normal"/>
        <w:ind w:firstLine="720" w:end="0"/>
        <w:rPr/>
      </w:pPr>
      <w:r>
        <w:rPr/>
      </w:r>
    </w:p>
    <w:p>
      <w:pPr>
        <w:pStyle w:val="Normal"/>
        <w:ind w:firstLine="720" w:end="0"/>
        <w:rPr/>
      </w:pPr>
      <w:r>
        <w:rPr/>
        <w:t>"</w:t>
      </w:r>
      <w:r>
        <w:rPr>
          <w:u w:val="single"/>
        </w:rPr>
        <w:t>Fixed Price</w:t>
      </w:r>
      <w:r>
        <w:rPr/>
        <w:t>": Means the price listed in Schedule A.</w:t>
      </w:r>
    </w:p>
    <w:p>
      <w:pPr>
        <w:pStyle w:val="Normal"/>
        <w:ind w:firstLine="720" w:end="0"/>
        <w:rPr/>
      </w:pPr>
      <w:r>
        <w:rPr/>
      </w:r>
    </w:p>
    <w:p>
      <w:pPr>
        <w:pStyle w:val="Normal"/>
        <w:ind w:firstLine="720" w:end="0"/>
        <w:rPr/>
      </w:pPr>
      <w:r>
        <w:rPr/>
        <w:t>"</w:t>
      </w:r>
      <w:r>
        <w:rPr>
          <w:u w:val="single"/>
        </w:rPr>
        <w:t>Floating Payment Obligation</w:t>
      </w:r>
      <w:r>
        <w:rPr/>
        <w:t>": For each Settlement Period, an amount equal to the absolute value of the product of the Notional Quantity and the Market Price.</w:t>
      </w:r>
    </w:p>
    <w:p>
      <w:pPr>
        <w:pStyle w:val="Normal"/>
        <w:rPr/>
      </w:pPr>
      <w:r>
        <w:rPr/>
      </w:r>
    </w:p>
    <w:p>
      <w:pPr>
        <w:pStyle w:val="Normal"/>
        <w:ind w:firstLine="720" w:end="0"/>
        <w:rPr/>
      </w:pPr>
      <w:r>
        <w:rPr/>
        <w:t>“</w:t>
      </w:r>
      <w:r>
        <w:rPr>
          <w:u w:val="single"/>
        </w:rPr>
        <w:t>Index</w:t>
      </w:r>
      <w:r>
        <w:rPr/>
        <w:t xml:space="preserve">”:  Means, with the exception of Empress, the Monthly Index from the Monthly Contract Index table of the </w:t>
      </w:r>
      <w:r>
        <w:rPr>
          <w:u w:val="single"/>
        </w:rPr>
        <w:t>Gas Daily Price Guide</w:t>
      </w:r>
      <w:r>
        <w:rPr/>
        <w:t xml:space="preserve"> published for the prompt month (month of the Settlement Period).  The index for Empress shall mean the Canadian Natural Gas</w:t>
      </w:r>
      <w:r>
        <w:rPr>
          <w:color w:val="000000"/>
        </w:rPr>
        <w:t xml:space="preserve"> Supply Prices</w:t>
      </w:r>
      <w:r>
        <w:rPr/>
        <w:t xml:space="preserve"> table of the </w:t>
      </w:r>
      <w:r>
        <w:rPr>
          <w:u w:val="single"/>
        </w:rPr>
        <w:t>Canadian Gas Price Reporter</w:t>
      </w:r>
      <w:r>
        <w:rPr/>
        <w:t xml:space="preserve"> published for the prompt month (month of the Settlement Period).</w:t>
      </w:r>
    </w:p>
    <w:p>
      <w:pPr>
        <w:pStyle w:val="Normal"/>
        <w:ind w:firstLine="720" w:end="0"/>
        <w:rPr/>
      </w:pPr>
      <w:r>
        <w:rPr/>
      </w:r>
    </w:p>
    <w:p>
      <w:pPr>
        <w:pStyle w:val="Normal"/>
        <w:ind w:firstLine="720" w:end="0"/>
        <w:rPr/>
      </w:pPr>
      <w:r>
        <w:rPr/>
        <w:t>"</w:t>
      </w:r>
      <w:r>
        <w:rPr>
          <w:u w:val="single"/>
        </w:rPr>
        <w:t>Market Price</w:t>
      </w:r>
      <w:r>
        <w:rPr/>
        <w:t>": Means the basis differential of the cost of natural gas between Henry Hub (NYMEX) and [LOCATION] expressed in $ per dekatherm (“US$/Dt”) applicable to the Settlement Period.  Such price shall be determined by calculating the difference between the NYMEX Settlement applicable to the Settlement Period and the Index at the [LOCATION].  For Empress, the p</w:t>
      </w:r>
      <w:r>
        <w:rPr>
          <w:color w:val="000000"/>
        </w:rPr>
        <w:t xml:space="preserve">rice shall be converted from CN$/GJ to CN$/Dt by multiplying by 1.054615 GJ/Dt and converted to US$/Dt by multiplying the current month Canada/U.S. Exchange Rate as reported in the Monthly Canadian and U.S. natural gas price summary table of the same </w:t>
      </w:r>
      <w:r>
        <w:rPr>
          <w:u w:val="single"/>
        </w:rPr>
        <w:t>Canadian Gas Price Reporter</w:t>
      </w:r>
      <w:r>
        <w:rPr>
          <w:color w:val="000000"/>
        </w:rPr>
        <w:t>, rounded to the nearest cent.</w:t>
      </w:r>
    </w:p>
    <w:p>
      <w:pPr>
        <w:pStyle w:val="Normal"/>
        <w:rPr/>
      </w:pPr>
      <w:r>
        <w:rPr/>
        <w:tab/>
      </w:r>
    </w:p>
    <w:p>
      <w:pPr>
        <w:pStyle w:val="Normal"/>
        <w:ind w:firstLine="720" w:end="0"/>
        <w:rPr/>
      </w:pPr>
      <w:r>
        <w:rPr/>
        <w:t>"</w:t>
      </w:r>
      <w:r>
        <w:rPr>
          <w:u w:val="single"/>
        </w:rPr>
        <w:t>Notional Quantity</w:t>
      </w:r>
      <w:r>
        <w:rPr/>
        <w:t>": Means the applicable quantity listed in Schedule A.</w:t>
      </w:r>
    </w:p>
    <w:p>
      <w:pPr>
        <w:pStyle w:val="Normal"/>
        <w:ind w:firstLine="720" w:end="0"/>
        <w:rPr/>
      </w:pPr>
      <w:r>
        <w:rPr/>
      </w:r>
    </w:p>
    <w:p>
      <w:pPr>
        <w:pStyle w:val="Normal"/>
        <w:ind w:firstLine="720" w:end="0"/>
        <w:rPr/>
      </w:pPr>
      <w:r>
        <w:rPr/>
        <w:t>“</w:t>
      </w:r>
      <w:r>
        <w:rPr>
          <w:u w:val="single"/>
        </w:rPr>
        <w:t>NYMEX Settlement</w:t>
      </w:r>
      <w:r>
        <w:rPr/>
        <w:t>”:  Means NYMEX Natural Gas Futures contract [final day settlement] [average of the settlement prices for the final three days of trading] for the prompt month (month of the Settlement Period).</w:t>
      </w:r>
    </w:p>
    <w:p>
      <w:pPr>
        <w:pStyle w:val="Normal"/>
        <w:rPr/>
      </w:pPr>
      <w:r>
        <w:rPr/>
      </w:r>
    </w:p>
    <w:p>
      <w:pPr>
        <w:pStyle w:val="Normal"/>
        <w:numPr>
          <w:ilvl w:val="0"/>
          <w:numId w:val="2"/>
        </w:numPr>
        <w:rPr>
          <w:b/>
          <w:u w:val="single"/>
        </w:rPr>
      </w:pPr>
      <w:r>
        <w:rPr>
          <w:b/>
          <w:u w:val="single"/>
        </w:rPr>
        <w:t>Limitation of Liability</w:t>
      </w:r>
    </w:p>
    <w:p>
      <w:pPr>
        <w:pStyle w:val="Normal"/>
        <w:rPr>
          <w:b/>
          <w:u w:val="single"/>
        </w:rPr>
      </w:pPr>
      <w:r>
        <w:rPr>
          <w:b/>
          <w:u w:val="single"/>
        </w:rPr>
      </w:r>
    </w:p>
    <w:p>
      <w:pPr>
        <w:pStyle w:val="Normal"/>
        <w:rPr/>
      </w:pPr>
      <w:r>
        <w:rPr/>
        <w:t xml:space="preserve"> </w:t>
      </w:r>
      <w:r>
        <w:rPr/>
        <w:t>NEITHER PARTY SHALL BE LIABLE TO THE OTHER PARTY FOR CONSEQUENTIAL, INCIDENTAL, PUNITIVE, EXEMPLARY OR INDIRECT DAMAGES, LOST PROFITS, OR BUSINESS INTERRUPTION DAMAGES, WHETHER BY STATUTE, IN TORT OR IN CONTRACT, UNDER ANY INDEMNITY PROVISION OR OTHERWISE.</w:t>
      </w:r>
    </w:p>
    <w:p>
      <w:pPr>
        <w:pStyle w:val="Normal"/>
        <w:rPr/>
      </w:pPr>
      <w:r>
        <w:rPr/>
      </w:r>
    </w:p>
    <w:p>
      <w:pPr>
        <w:pStyle w:val="Normal"/>
        <w:rPr>
          <w:b/>
        </w:rPr>
      </w:pPr>
      <w:r>
        <w:rPr>
          <w:b/>
        </w:rPr>
        <w:t>6.</w:t>
        <w:tab/>
      </w:r>
      <w:r>
        <w:rPr>
          <w:b/>
          <w:u w:val="single"/>
        </w:rPr>
        <w:t>Representations and Warranties</w:t>
      </w:r>
    </w:p>
    <w:p>
      <w:pPr>
        <w:pStyle w:val="FootnoteText"/>
        <w:rPr>
          <w:b/>
        </w:rPr>
      </w:pPr>
      <w:r>
        <w:rPr>
          <w:b/>
        </w:rPr>
      </w:r>
    </w:p>
    <w:p>
      <w:pPr>
        <w:pStyle w:val="Normal"/>
        <w:jc w:val="both"/>
        <w:rPr/>
      </w:pPr>
      <w:r>
        <w:rPr/>
        <w:t>Each Party represents and warrants to the other Party as of the date hereof that:</w:t>
      </w:r>
    </w:p>
    <w:p>
      <w:pPr>
        <w:pStyle w:val="Normal"/>
        <w:jc w:val="both"/>
        <w:rPr/>
      </w:pPr>
      <w:r>
        <w:rPr/>
      </w:r>
    </w:p>
    <w:p>
      <w:pPr>
        <w:pStyle w:val="Normal"/>
        <w:tabs>
          <w:tab w:val="clear" w:pos="720"/>
          <w:tab w:val="left" w:pos="360" w:leader="none"/>
        </w:tabs>
        <w:jc w:val="both"/>
        <w:rPr/>
      </w:pPr>
      <w:r>
        <w:rPr/>
        <w:t>a.</w:t>
        <w:tab/>
        <w:t>It is duly organized and existing under the laws of the jurisdiction of its organization and has full power and legal right to execute, deliver and perform this Agreement.</w:t>
      </w:r>
    </w:p>
    <w:p>
      <w:pPr>
        <w:pStyle w:val="Normal"/>
        <w:tabs>
          <w:tab w:val="clear" w:pos="720"/>
          <w:tab w:val="left" w:pos="360" w:leader="none"/>
        </w:tabs>
        <w:jc w:val="both"/>
        <w:rPr/>
      </w:pPr>
      <w:r>
        <w:rPr/>
      </w:r>
    </w:p>
    <w:p>
      <w:pPr>
        <w:pStyle w:val="Normal"/>
        <w:tabs>
          <w:tab w:val="clear" w:pos="720"/>
          <w:tab w:val="left" w:pos="360" w:leader="none"/>
        </w:tabs>
        <w:jc w:val="both"/>
        <w:rPr/>
      </w:pPr>
      <w:r>
        <w:rPr/>
        <w:t>b.</w:t>
        <w:tab/>
        <w:t>Its execution, delivery and performance of this Agreement has been duly authorized by all necessary actions and do not contravene any legal or contractual restriction binding on or affecting it, and the person signing this confirmation is authorized and empowered to do so.</w:t>
      </w:r>
    </w:p>
    <w:p>
      <w:pPr>
        <w:pStyle w:val="Normal"/>
        <w:tabs>
          <w:tab w:val="clear" w:pos="720"/>
          <w:tab w:val="left" w:pos="360" w:leader="none"/>
        </w:tabs>
        <w:jc w:val="both"/>
        <w:rPr/>
      </w:pPr>
      <w:r>
        <w:rPr/>
      </w:r>
    </w:p>
    <w:p>
      <w:pPr>
        <w:pStyle w:val="Normal"/>
        <w:tabs>
          <w:tab w:val="clear" w:pos="720"/>
          <w:tab w:val="left" w:pos="360" w:leader="none"/>
        </w:tabs>
        <w:jc w:val="both"/>
        <w:rPr/>
      </w:pPr>
      <w:r>
        <w:rPr/>
        <w:t>c.</w:t>
        <w:tab/>
        <w:t>It has obtained or submitted any authorization or approval or other action by, or notice to or filing with, any governmental authority or regulatory body that is required for the due execution, delivery and performance of this Agreement.</w:t>
      </w:r>
    </w:p>
    <w:p>
      <w:pPr>
        <w:pStyle w:val="Normal"/>
        <w:tabs>
          <w:tab w:val="clear" w:pos="720"/>
          <w:tab w:val="left" w:pos="360" w:leader="none"/>
        </w:tabs>
        <w:jc w:val="both"/>
        <w:rPr/>
      </w:pPr>
      <w:r>
        <w:rPr/>
      </w:r>
    </w:p>
    <w:p>
      <w:pPr>
        <w:pStyle w:val="Normal"/>
        <w:tabs>
          <w:tab w:val="clear" w:pos="720"/>
          <w:tab w:val="left" w:pos="360" w:leader="none"/>
        </w:tabs>
        <w:jc w:val="both"/>
        <w:rPr/>
      </w:pPr>
      <w:r>
        <w:rPr/>
        <w:t>d.</w:t>
        <w:tab/>
        <w:t>This Agreement constitutes its valid and legally binding obligations enforceable against it in accordance with its terms, except as may be limited by bankruptcy, reorganization, moratorium or similar laws affecting creditors’ rights generally.</w:t>
      </w:r>
    </w:p>
    <w:p>
      <w:pPr>
        <w:pStyle w:val="Normal"/>
        <w:tabs>
          <w:tab w:val="clear" w:pos="720"/>
          <w:tab w:val="left" w:pos="360" w:leader="none"/>
        </w:tabs>
        <w:jc w:val="both"/>
        <w:rPr/>
      </w:pPr>
      <w:r>
        <w:rPr/>
      </w:r>
    </w:p>
    <w:p>
      <w:pPr>
        <w:pStyle w:val="Normal"/>
        <w:tabs>
          <w:tab w:val="clear" w:pos="720"/>
          <w:tab w:val="left" w:pos="360" w:leader="none"/>
        </w:tabs>
        <w:jc w:val="both"/>
        <w:rPr/>
      </w:pPr>
      <w:r>
        <w:rPr/>
        <w:t>e.</w:t>
        <w:tab/>
        <w:t>No Event of Default (as defined below), or event which with notice and/or lapse of time would constitute an Event of Default, has occurred with respect to it.</w:t>
      </w:r>
    </w:p>
    <w:p>
      <w:pPr>
        <w:pStyle w:val="Normal"/>
        <w:tabs>
          <w:tab w:val="clear" w:pos="720"/>
          <w:tab w:val="left" w:pos="360" w:leader="none"/>
        </w:tabs>
        <w:jc w:val="both"/>
        <w:rPr/>
      </w:pPr>
      <w:r>
        <w:rPr/>
      </w:r>
    </w:p>
    <w:p>
      <w:pPr>
        <w:pStyle w:val="Normal"/>
        <w:tabs>
          <w:tab w:val="clear" w:pos="720"/>
          <w:tab w:val="left" w:pos="360" w:leader="none"/>
        </w:tabs>
        <w:jc w:val="both"/>
        <w:rPr/>
      </w:pPr>
      <w:r>
        <w:rPr/>
        <w:t>f.</w:t>
        <w:tab/>
        <w:t>No litigation, arbitration or administrative proceeding is current or pending or, so far as it is aware, threatened against it which would, if adversely determined, have a material adverse effect on its financial condition or its ability to perform its obligations hereunder.</w:t>
      </w:r>
    </w:p>
    <w:p>
      <w:pPr>
        <w:pStyle w:val="Normal"/>
        <w:tabs>
          <w:tab w:val="clear" w:pos="720"/>
          <w:tab w:val="left" w:pos="360" w:leader="none"/>
        </w:tabs>
        <w:jc w:val="both"/>
        <w:rPr/>
      </w:pPr>
      <w:r>
        <w:rPr/>
      </w:r>
    </w:p>
    <w:p>
      <w:pPr>
        <w:pStyle w:val="Normal"/>
        <w:tabs>
          <w:tab w:val="clear" w:pos="720"/>
          <w:tab w:val="left" w:pos="360" w:leader="none"/>
        </w:tabs>
        <w:jc w:val="both"/>
        <w:rPr/>
      </w:pPr>
      <w:r>
        <w:rPr/>
        <w:t>g.</w:t>
        <w:tab/>
        <w:t>It has entered into this Agreement in connection with its line of business (including financial intermediation services) and the terms hereof have been negotiated at arms length between the Parties.</w:t>
      </w:r>
    </w:p>
    <w:p>
      <w:pPr>
        <w:pStyle w:val="Normal"/>
        <w:tabs>
          <w:tab w:val="clear" w:pos="720"/>
          <w:tab w:val="left" w:pos="360" w:leader="none"/>
        </w:tabs>
        <w:jc w:val="both"/>
        <w:rPr/>
      </w:pPr>
      <w:r>
        <w:rPr/>
      </w:r>
    </w:p>
    <w:p>
      <w:pPr>
        <w:pStyle w:val="Normal"/>
        <w:tabs>
          <w:tab w:val="clear" w:pos="720"/>
          <w:tab w:val="left" w:pos="360" w:leader="none"/>
        </w:tabs>
        <w:jc w:val="both"/>
        <w:rPr/>
      </w:pPr>
      <w:r>
        <w:rPr/>
        <w:t>h.</w:t>
        <w:tab/>
        <w:t>It is an “Eligible Swap Participant” as defined in CFTC Rule 35.1</w:t>
      </w:r>
    </w:p>
    <w:p>
      <w:pPr>
        <w:pStyle w:val="Normal"/>
        <w:tabs>
          <w:tab w:val="clear" w:pos="720"/>
          <w:tab w:val="left" w:pos="360" w:leader="none"/>
        </w:tabs>
        <w:jc w:val="both"/>
        <w:rPr/>
      </w:pPr>
      <w:r>
        <w:rPr/>
      </w:r>
    </w:p>
    <w:p>
      <w:pPr>
        <w:pStyle w:val="Normal"/>
        <w:tabs>
          <w:tab w:val="clear" w:pos="720"/>
          <w:tab w:val="left" w:pos="360" w:leader="none"/>
        </w:tabs>
        <w:jc w:val="both"/>
        <w:rPr/>
      </w:pPr>
      <w:r>
        <w:rPr/>
        <w:t>i.</w:t>
        <w:tab/>
        <w:t>It is not relying upon any representations of the other Party other than those expressly set forth herein or any written guarantee of the obligations hereof.</w:t>
      </w:r>
    </w:p>
    <w:p>
      <w:pPr>
        <w:pStyle w:val="Normal"/>
        <w:tabs>
          <w:tab w:val="clear" w:pos="720"/>
          <w:tab w:val="left" w:pos="360" w:leader="none"/>
        </w:tabs>
        <w:jc w:val="both"/>
        <w:rPr/>
      </w:pPr>
      <w:r>
        <w:rPr/>
      </w:r>
    </w:p>
    <w:p>
      <w:pPr>
        <w:pStyle w:val="Normal"/>
        <w:tabs>
          <w:tab w:val="clear" w:pos="720"/>
          <w:tab w:val="left" w:pos="360" w:leader="none"/>
        </w:tabs>
        <w:jc w:val="both"/>
        <w:rPr/>
      </w:pPr>
      <w:r>
        <w:rPr/>
        <w:t>j.</w:t>
        <w:tab/>
        <w:t>It has entered into this Agreement as principal (and not as agent or in any other capacity, fiduciary or otherwise).</w:t>
      </w:r>
    </w:p>
    <w:p>
      <w:pPr>
        <w:pStyle w:val="Normal"/>
        <w:tabs>
          <w:tab w:val="clear" w:pos="720"/>
          <w:tab w:val="left" w:pos="360" w:leader="none"/>
        </w:tabs>
        <w:jc w:val="both"/>
        <w:rPr/>
      </w:pPr>
      <w:r>
        <w:rPr/>
      </w:r>
    </w:p>
    <w:p>
      <w:pPr>
        <w:pStyle w:val="Normal"/>
        <w:tabs>
          <w:tab w:val="clear" w:pos="720"/>
          <w:tab w:val="left" w:pos="360" w:leader="none"/>
        </w:tabs>
        <w:jc w:val="both"/>
        <w:rPr/>
      </w:pPr>
      <w:r>
        <w:rPr/>
        <w:t>k.</w:t>
        <w:tab/>
        <w:t>It has entered into this Agreement with a full understanding of the material terms and risks hereof, and it is capable of assuming those risks.</w:t>
      </w:r>
    </w:p>
    <w:p>
      <w:pPr>
        <w:pStyle w:val="Normal"/>
        <w:tabs>
          <w:tab w:val="clear" w:pos="720"/>
          <w:tab w:val="left" w:pos="360" w:leader="none"/>
        </w:tabs>
        <w:jc w:val="both"/>
        <w:rPr/>
      </w:pPr>
      <w:r>
        <w:rPr/>
      </w:r>
    </w:p>
    <w:p>
      <w:pPr>
        <w:pStyle w:val="Normal"/>
        <w:tabs>
          <w:tab w:val="clear" w:pos="720"/>
          <w:tab w:val="left" w:pos="360" w:leader="none"/>
        </w:tabs>
        <w:jc w:val="both"/>
        <w:rPr/>
      </w:pPr>
      <w:r>
        <w:rPr/>
        <w:t>l.</w:t>
        <w:tab/>
        <w:t>It has made its investment and trading decisions (including regarding the suitability hereof) based upon its own judgment and any advice from such advisors as it has deemed necessary, and not in reliance upon any view expressed by the other Party.</w:t>
      </w:r>
    </w:p>
    <w:p>
      <w:pPr>
        <w:pStyle w:val="Normal"/>
        <w:tabs>
          <w:tab w:val="clear" w:pos="720"/>
          <w:tab w:val="left" w:pos="360" w:leader="none"/>
        </w:tabs>
        <w:jc w:val="both"/>
        <w:rPr/>
      </w:pPr>
      <w:r>
        <w:rPr/>
      </w:r>
    </w:p>
    <w:p>
      <w:pPr>
        <w:pStyle w:val="Normal"/>
        <w:tabs>
          <w:tab w:val="clear" w:pos="720"/>
          <w:tab w:val="left" w:pos="360" w:leader="none"/>
        </w:tabs>
        <w:jc w:val="both"/>
        <w:rPr/>
      </w:pPr>
      <w:r>
        <w:rPr/>
        <w:t>m.</w:t>
        <w:tab/>
        <w:t>The other Party is not acting as a fiduciary or an advisor for it, nor has given to it any assurance or guarantee as to the expected performance or result of this Agreement.</w:t>
      </w:r>
    </w:p>
    <w:p>
      <w:pPr>
        <w:pStyle w:val="Normal"/>
        <w:tabs>
          <w:tab w:val="clear" w:pos="720"/>
          <w:tab w:val="left" w:pos="360" w:leader="none"/>
        </w:tabs>
        <w:jc w:val="both"/>
        <w:rPr/>
      </w:pPr>
      <w:r>
        <w:rPr/>
      </w:r>
    </w:p>
    <w:p>
      <w:pPr>
        <w:pStyle w:val="Normal"/>
        <w:tabs>
          <w:tab w:val="clear" w:pos="720"/>
          <w:tab w:val="left" w:pos="360" w:leader="none"/>
        </w:tabs>
        <w:jc w:val="both"/>
        <w:rPr/>
      </w:pPr>
      <w:r>
        <w:rPr/>
        <w:t>n.</w:t>
        <w:tab/>
        <w:t>It is a producer, processor, merchant or commercial end user of the commodity that is the subject of this Transaction and is entering into it solely for purposes related to said business.</w:t>
      </w:r>
    </w:p>
    <w:p>
      <w:pPr>
        <w:pStyle w:val="Normal"/>
        <w:jc w:val="both"/>
        <w:rPr/>
      </w:pPr>
      <w:r>
        <w:rPr/>
      </w:r>
    </w:p>
    <w:p>
      <w:pPr>
        <w:pStyle w:val="Normal"/>
        <w:jc w:val="both"/>
        <w:rPr>
          <w:b/>
        </w:rPr>
      </w:pPr>
      <w:r>
        <w:rPr>
          <w:b/>
        </w:rPr>
        <w:t xml:space="preserve">7.  </w:t>
        <w:tab/>
      </w:r>
      <w:r>
        <w:rPr>
          <w:b/>
          <w:u w:val="single"/>
        </w:rPr>
        <w:t>Non-Performance</w:t>
      </w:r>
    </w:p>
    <w:p>
      <w:pPr>
        <w:pStyle w:val="Normal"/>
        <w:jc w:val="both"/>
        <w:rPr>
          <w:b/>
        </w:rPr>
      </w:pPr>
      <w:r>
        <w:rPr>
          <w:b/>
        </w:rPr>
      </w:r>
    </w:p>
    <w:p>
      <w:pPr>
        <w:pStyle w:val="Normal"/>
        <w:jc w:val="both"/>
        <w:rPr/>
      </w:pPr>
      <w:r>
        <w:rPr/>
        <w:t>a.  The occurrence at any time with respect to either Party or, if the obligations of such Party hereunder are guaranteed by a third Party (its “Guarantor”), with respect to its Guarantor, of any of the following events constitutes an event of default (“Event of Default”) with respect to such Party (the “Defaulting Party”)</w:t>
      </w:r>
    </w:p>
    <w:p>
      <w:pPr>
        <w:pStyle w:val="Normal"/>
        <w:jc w:val="both"/>
        <w:rPr/>
      </w:pPr>
      <w:r>
        <w:rPr/>
      </w:r>
    </w:p>
    <w:p>
      <w:pPr>
        <w:pStyle w:val="Normal"/>
        <w:ind w:start="720" w:end="0"/>
        <w:jc w:val="both"/>
        <w:rPr/>
      </w:pPr>
      <w:r>
        <w:rPr/>
        <w:t>i.  The Defaulting Party fails to pay or perform any obligation when due hereunder or under any other commodity swap, option, cap, floor, collar, forward or similar transaction between the Parties (“Other Commodity Transactions”), and such failure continues, after receipt of written notice thereof, for more than two (2) Business Days in the case of non-payment (including, without limitation, non-payment of collateral) and (5) Business Days in the case of any other such obligation under this Agreement.  If the failure to perform such obligation is for Other Commodity Transactions and arises under a separate agreement for such Commodity Transactions, in which case the notice and termination period in such agreements shall govern.</w:t>
      </w:r>
    </w:p>
    <w:p>
      <w:pPr>
        <w:pStyle w:val="Normal"/>
        <w:jc w:val="both"/>
        <w:rPr/>
      </w:pPr>
      <w:r>
        <w:rPr/>
      </w:r>
    </w:p>
    <w:p>
      <w:pPr>
        <w:pStyle w:val="Normal"/>
        <w:ind w:start="720" w:end="0"/>
        <w:jc w:val="both"/>
        <w:rPr/>
      </w:pPr>
      <w:r>
        <w:rPr/>
        <w:t>ii.  The Defaulting Party or its Guarantor repudiates its obligations hereunder or under the guarantee, as the case may be.</w:t>
      </w:r>
    </w:p>
    <w:p>
      <w:pPr>
        <w:pStyle w:val="Normal"/>
        <w:jc w:val="both"/>
        <w:rPr/>
      </w:pPr>
      <w:r>
        <w:rPr/>
      </w:r>
    </w:p>
    <w:p>
      <w:pPr>
        <w:pStyle w:val="Normal"/>
        <w:ind w:start="720" w:end="0"/>
        <w:jc w:val="both"/>
        <w:rPr/>
      </w:pPr>
      <w:r>
        <w:rPr/>
        <w:t>iii.  Any representation or warranty made by the Defaulting Party hereunder, or by the Guarantor under the Guarantee, proves to have been false or misleading in any material respect as of the time it was a made.</w:t>
      </w:r>
    </w:p>
    <w:p>
      <w:pPr>
        <w:pStyle w:val="Normal"/>
        <w:jc w:val="both"/>
        <w:rPr/>
      </w:pPr>
      <w:r>
        <w:rPr/>
      </w:r>
    </w:p>
    <w:p>
      <w:pPr>
        <w:pStyle w:val="Normal"/>
        <w:ind w:start="720" w:end="0"/>
        <w:jc w:val="both"/>
        <w:rPr/>
      </w:pPr>
      <w:r>
        <w:rPr/>
        <w:t>iv.  The Defaulting Party or its Guarantor becomes bankrupt or insolvent, however evidenced, or is unable (or admits in writing its inability) generally to pay its debts as they become due, or makes a general assignment for the benefits of its creditors.</w:t>
      </w:r>
    </w:p>
    <w:p>
      <w:pPr>
        <w:pStyle w:val="Normal"/>
        <w:jc w:val="both"/>
        <w:rPr/>
      </w:pPr>
      <w:r>
        <w:rPr/>
      </w:r>
    </w:p>
    <w:p>
      <w:pPr>
        <w:pStyle w:val="Normal"/>
        <w:ind w:start="720" w:end="0"/>
        <w:jc w:val="both"/>
        <w:rPr/>
      </w:pPr>
      <w:r>
        <w:rPr/>
        <w:t>v.  The Defaulting Party or its Guarantor files or otherwise commences, or has filed or commenced against it, a proceeding under any bankruptcy, insolvency, reorganization or similar law for the protection of creditors, or the application for appointment of a receiver, custodian or similar person, or the passing of a resolution for winding up of liquidation by it or on its behalf.</w:t>
      </w:r>
    </w:p>
    <w:p>
      <w:pPr>
        <w:pStyle w:val="Normal"/>
        <w:jc w:val="both"/>
        <w:rPr/>
      </w:pPr>
      <w:r>
        <w:rPr/>
      </w:r>
    </w:p>
    <w:p>
      <w:pPr>
        <w:pStyle w:val="Normal"/>
        <w:jc w:val="both"/>
        <w:rPr/>
      </w:pPr>
      <w:r>
        <w:rPr/>
        <w:t>b.  If any Event of Default shall have occurred and be continuing, then the other Party (the “Performing Party”) shall have the right to designate an Early Termination Date upon at least one (1) Business Day’s notice to the Defaulting Party (except in the case of an event under Clauses 6(a)(v) above, in which event an Early Termination Date shall be deemed to have occurred immediately prior to such event and no prior notice shall be required) and to liquidate this Transaction and all Other Commodity Transactions then outstanding by:</w:t>
      </w:r>
    </w:p>
    <w:p>
      <w:pPr>
        <w:pStyle w:val="Normal"/>
        <w:jc w:val="both"/>
        <w:rPr/>
      </w:pPr>
      <w:r>
        <w:rPr/>
      </w:r>
    </w:p>
    <w:p>
      <w:pPr>
        <w:pStyle w:val="Normal"/>
        <w:ind w:start="720" w:end="0"/>
        <w:jc w:val="both"/>
        <w:rPr/>
      </w:pPr>
      <w:r>
        <w:rPr/>
        <w:t>i.  closing out and liquidating each such Transaction, so that each such Transaction is terminated, and calculating a Settlement Payment (as defined below) for each such Transaction payable to one Party from the other, as appropriate, and any Breakage Costs (as defined) below incurred by the Performing Party, and</w:t>
      </w:r>
    </w:p>
    <w:p>
      <w:pPr>
        <w:pStyle w:val="Normal"/>
        <w:jc w:val="both"/>
        <w:rPr/>
      </w:pPr>
      <w:r>
        <w:rPr/>
      </w:r>
    </w:p>
    <w:p>
      <w:pPr>
        <w:pStyle w:val="Normal"/>
        <w:ind w:start="720" w:end="0"/>
        <w:jc w:val="both"/>
        <w:rPr/>
      </w:pPr>
      <w:r>
        <w:rPr/>
        <w:t>ii.  setting off (1) all such Settlement Payments owing to the Defaulting Party plus (at the Performing Party’s election) any or all other amounts due to the Defaulting Party under this Transaction or any Other Commodity Transaction; (2) all such Settlement Payments owing to the Performing Party plus any or all Breakage Costs, plus (at the Performing Party’s election) any or all other amounts due to the Performing Party under this Transaction or any Other Commodity Transaction; and (3) all collateral held by either Party to secure the obligations of the other Party, so that all such amounts shall be aggregated and/or netted to a single liquidated amount payable within one (1) Business Day by the Party owing the greater such amount to the other Party.</w:t>
      </w:r>
    </w:p>
    <w:p>
      <w:pPr>
        <w:pStyle w:val="Normal"/>
        <w:jc w:val="both"/>
        <w:rPr/>
      </w:pPr>
      <w:r>
        <w:rPr/>
      </w:r>
    </w:p>
    <w:p>
      <w:pPr>
        <w:pStyle w:val="Normal"/>
        <w:jc w:val="both"/>
        <w:rPr/>
      </w:pPr>
      <w:r>
        <w:rPr/>
        <w:t>c.  For the purpose of this Section 7, “Settlement Payment” means with respect to this Transaction and any outstanding Other Commodity Transactions, an amount representing each such Commodity Transaction’s market value (in US dollars) to the Party entitled to receive compensation for the early termination thereof, determined as of, or about the time, such Transaction is liquidated by the Performing Party in any commercially reasonable manner, or with respect to an Other Commodity Transactions, the amount obtained by applying the liquidation provisions under said agreements.  “Breakage Costs” means all costs and losses which the Performing Party may incur as a result of its terminating and liquidating this Transaction under this non-performance clause, including without limitation, loss of bargain, costs and losses incurred in maintaining, terminating and/or re-establishing any hedge or related trading positions, except for amounts covered by the Settlement Payment for such Other Commodity Transaction.</w:t>
      </w:r>
    </w:p>
    <w:p>
      <w:pPr>
        <w:pStyle w:val="Normal"/>
        <w:jc w:val="both"/>
        <w:rPr/>
      </w:pPr>
      <w:r>
        <w:rPr/>
      </w:r>
    </w:p>
    <w:p>
      <w:pPr>
        <w:pStyle w:val="Normal"/>
        <w:jc w:val="both"/>
        <w:rPr/>
      </w:pPr>
      <w:r>
        <w:rPr/>
        <w:t>d.  If the Performing Party owes any amount pursuant to Section 7(b), at its election, it may set off any or all of such amount against any or all amounts then due and owing by the Defaulting Party to the Performing Party under any other agreement or arrangement.</w:t>
      </w:r>
    </w:p>
    <w:p>
      <w:pPr>
        <w:pStyle w:val="Normal"/>
        <w:jc w:val="both"/>
        <w:rPr/>
      </w:pPr>
      <w:r>
        <w:rPr/>
      </w:r>
    </w:p>
    <w:p>
      <w:pPr>
        <w:pStyle w:val="BodyText"/>
        <w:jc w:val="both"/>
        <w:rPr>
          <w:sz w:val="20"/>
        </w:rPr>
      </w:pPr>
      <w:r>
        <w:rPr>
          <w:sz w:val="20"/>
        </w:rPr>
        <w:t>e.  The Performing Party’s rights under this Section 7 shall be in addition to, and not in limitation or exclusion of, any other rights which the Performing Party may have (whether by agreement, operation of law, or otherwise).  This Agreement constitutes a swap contract for the purposes of Section 560 of the US Bankruptcy Code.</w:t>
      </w:r>
    </w:p>
    <w:p>
      <w:pPr>
        <w:pStyle w:val="Normal"/>
        <w:jc w:val="both"/>
        <w:rPr>
          <w:sz w:val="20"/>
        </w:rPr>
      </w:pPr>
      <w:r>
        <w:rPr>
          <w:sz w:val="20"/>
        </w:rPr>
      </w:r>
    </w:p>
    <w:p>
      <w:pPr>
        <w:pStyle w:val="Normal"/>
        <w:jc w:val="both"/>
        <w:rPr>
          <w:b/>
        </w:rPr>
      </w:pPr>
      <w:r>
        <w:rPr>
          <w:b/>
        </w:rPr>
        <w:t>8.</w:t>
        <w:tab/>
      </w:r>
      <w:r>
        <w:rPr>
          <w:b/>
          <w:u w:val="single"/>
        </w:rPr>
        <w:t>Miscellaneous</w:t>
      </w:r>
    </w:p>
    <w:p>
      <w:pPr>
        <w:pStyle w:val="Normal"/>
        <w:jc w:val="both"/>
        <w:rPr>
          <w:b/>
        </w:rPr>
      </w:pPr>
      <w:r>
        <w:rPr>
          <w:b/>
        </w:rPr>
      </w:r>
    </w:p>
    <w:p>
      <w:pPr>
        <w:pStyle w:val="Normal"/>
        <w:jc w:val="both"/>
        <w:rPr/>
      </w:pPr>
      <w:r>
        <w:rPr/>
        <w:t>a.  Neither Party may assign its rights or its obligations hereunder without the prior written consent of the other Party.</w:t>
      </w:r>
    </w:p>
    <w:p>
      <w:pPr>
        <w:pStyle w:val="Normal"/>
        <w:jc w:val="both"/>
        <w:rPr/>
      </w:pPr>
      <w:r>
        <w:rPr/>
      </w:r>
    </w:p>
    <w:p>
      <w:pPr>
        <w:pStyle w:val="BodyText3"/>
        <w:rPr/>
      </w:pPr>
      <w:r>
        <w:rPr/>
        <w:t>b.  Each Party consents to the recording of its representatives’ telephone conversations without any further notice. All recordings and any other evidence may be introduced to prove any oral agreement between the Parties.</w:t>
      </w:r>
    </w:p>
    <w:p>
      <w:pPr>
        <w:pStyle w:val="Normal"/>
        <w:jc w:val="both"/>
        <w:rPr/>
      </w:pPr>
      <w:r>
        <w:rPr/>
      </w:r>
    </w:p>
    <w:p>
      <w:pPr>
        <w:pStyle w:val="BodyText3"/>
        <w:rPr/>
      </w:pPr>
      <w:r>
        <w:rPr/>
        <w:t>c.  If either Party B or Party A requires initial margin or if the marked-to-market exposure exceeds the credit limits established by either Party B or Party A, either Party B or Party A may require the other to post margin in the amount of the margin call in one of the following forms a) payment by wire transfer, b) post an irrevocable letter of credit in form and substance acceptable to the requiring Party, c) deliver to the requiring Party a parent guarantee, or d) an additional form of collateral deemed acceptable to the requiring Party. The marked-to-market exposure shall be based on the Settlement Payment that would be due one Party, if such Party could declare an Event of Default, but did not exercise such right in which this Transaction and all outstanding Commodity Transactions could be terminated.  Calls for additional margin or reductions in margin maybe made no more frequently than once every three (3) Business Days by a Party.  Additional margin or reductions in margin shall be provided within two (2) Business Days of a request.  If the Party receiving the request disputes the amount of margin requested, then the Party making the request shall promptly provide the other Party with sufficient information to evaluate the basis for the request.</w:t>
      </w:r>
    </w:p>
    <w:p>
      <w:pPr>
        <w:pStyle w:val="Normal"/>
        <w:jc w:val="both"/>
        <w:rPr/>
      </w:pPr>
      <w:r>
        <w:rPr/>
      </w:r>
    </w:p>
    <w:p>
      <w:pPr>
        <w:pStyle w:val="Normal"/>
        <w:jc w:val="both"/>
        <w:rPr/>
      </w:pPr>
      <w:r>
        <w:rPr/>
        <w:t>d.  Any notice or communication in connection with this Notice of Execution will be sufficiently given to a Party , if in writing and delivered in person, sent by registered or certified mail, in each case with return receipt requested, or by overnight courier, or given by telex of facsimile (in each case with answerback or other confirmation of its receipt received by the sender) at the address or telex number or facsimile number specified in this Agreement. A notice or communication will be effective a) if delivered, b) if transmitted by telex or facsimile, at the time of successful transmission, or c) if sent by registered or certified mail return receipt requested, on the date of receipt.</w:t>
      </w:r>
    </w:p>
    <w:p>
      <w:pPr>
        <w:pStyle w:val="Normal"/>
        <w:jc w:val="both"/>
        <w:rPr/>
      </w:pPr>
      <w:r>
        <w:rPr/>
      </w:r>
    </w:p>
    <w:p>
      <w:pPr>
        <w:pStyle w:val="BodyText3"/>
        <w:rPr/>
      </w:pPr>
      <w:r>
        <w:rPr/>
        <w:t>e. The Parties agree not to contest or assert any defense to the validity or enforceability of telephonic Confirmations under Laws relating to whether certain agreements are to be in writing or signed by the Party to be thereby bound, or the authority of any employee of such Party to make such communication.  The Parties further agree that this Agreement and all Transactions entered into hereunder shall constitute a Qualified Financial Contract as defined in New York General Obligations Law, Section 5-701.</w:t>
      </w:r>
    </w:p>
    <w:p>
      <w:pPr>
        <w:pStyle w:val="BodyText3"/>
        <w:rPr/>
      </w:pPr>
      <w:r>
        <w:rPr/>
      </w:r>
    </w:p>
    <w:p>
      <w:pPr>
        <w:pStyle w:val="BodyText3"/>
        <w:rPr/>
      </w:pPr>
      <w:r>
        <w:rPr/>
        <w:t>f. The terms of this Confirmation are confidential and are not to be disclosed to any third party without the prior written consent of the non-disclosing Party; provided that the terms of this confirmation may be disclosed to governmental agencies with jurisdiction over this matter without prior written consent.</w:t>
      </w:r>
    </w:p>
    <w:p>
      <w:pPr>
        <w:pStyle w:val="BodyText3"/>
        <w:rPr/>
      </w:pPr>
      <w:r>
        <w:rPr/>
      </w:r>
    </w:p>
    <w:p>
      <w:pPr>
        <w:pStyle w:val="Normal"/>
        <w:keepNext w:val="true"/>
        <w:keepLines/>
        <w:jc w:val="both"/>
        <w:rPr>
          <w:b/>
        </w:rPr>
      </w:pPr>
      <w:r>
        <w:rPr>
          <w:b/>
        </w:rPr>
        <w:t>9.</w:t>
        <w:tab/>
      </w:r>
      <w:r>
        <w:rPr>
          <w:b/>
          <w:u w:val="single"/>
        </w:rPr>
        <w:t>Governing Law</w:t>
      </w:r>
    </w:p>
    <w:p>
      <w:pPr>
        <w:pStyle w:val="Normal"/>
        <w:keepNext w:val="true"/>
        <w:keepLines/>
        <w:jc w:val="both"/>
        <w:rPr>
          <w:b/>
        </w:rPr>
      </w:pPr>
      <w:r>
        <w:rPr>
          <w:b/>
        </w:rPr>
      </w:r>
    </w:p>
    <w:p>
      <w:pPr>
        <w:pStyle w:val="Normal"/>
        <w:keepNext w:val="true"/>
        <w:keepLines/>
        <w:jc w:val="both"/>
        <w:rPr/>
      </w:pPr>
      <w:r>
        <w:rPr/>
        <w:t xml:space="preserve">This contract shall be governed by New York law.  Each Party expressly submits to the exclusive jurisdiction of the Federal and State Courts located in the State of New York.  </w:t>
      </w:r>
    </w:p>
    <w:p>
      <w:pPr>
        <w:pStyle w:val="Normal"/>
        <w:rPr/>
      </w:pPr>
      <w:r>
        <w:rPr/>
      </w:r>
    </w:p>
    <w:p>
      <w:pPr>
        <w:pStyle w:val="Normal"/>
        <w:tabs>
          <w:tab w:val="clear" w:pos="720"/>
          <w:tab w:val="left" w:pos="-1440" w:leader="none"/>
        </w:tabs>
        <w:ind w:hanging="720" w:start="720" w:end="0"/>
        <w:rPr>
          <w:b/>
        </w:rPr>
      </w:pPr>
      <w:r>
        <w:rPr>
          <w:b/>
        </w:rPr>
        <w:t>10.</w:t>
        <w:tab/>
      </w:r>
      <w:r>
        <w:rPr>
          <w:b/>
          <w:u w:val="single"/>
        </w:rPr>
        <w:t>Account Details</w:t>
      </w:r>
    </w:p>
    <w:p>
      <w:pPr>
        <w:pStyle w:val="Normal"/>
        <w:rPr>
          <w:b/>
        </w:rPr>
      </w:pPr>
      <w:r>
        <w:rPr>
          <w:b/>
        </w:rPr>
      </w:r>
    </w:p>
    <w:p>
      <w:pPr>
        <w:pStyle w:val="Normal"/>
        <w:ind w:start="720" w:end="0"/>
        <w:rPr/>
      </w:pPr>
      <w:r>
        <w:rPr/>
        <w:t>Account for payments to Niagara Mohawk Power Corporation:</w:t>
      </w:r>
    </w:p>
    <w:p>
      <w:pPr>
        <w:pStyle w:val="Normal"/>
        <w:ind w:start="720" w:end="0"/>
        <w:rPr/>
      </w:pPr>
      <w:r>
        <w:rPr/>
      </w:r>
    </w:p>
    <w:p>
      <w:pPr>
        <w:pStyle w:val="Normal"/>
        <w:ind w:start="720" w:end="0"/>
        <w:rPr/>
      </w:pPr>
      <w:r>
        <w:rPr/>
        <w:t>Citibank</w:t>
      </w:r>
    </w:p>
    <w:p>
      <w:pPr>
        <w:pStyle w:val="Normal"/>
        <w:ind w:start="720" w:end="0"/>
        <w:rPr/>
      </w:pPr>
      <w:r>
        <w:rPr/>
        <w:t>ABA #:</w:t>
        <w:tab/>
        <w:tab/>
        <w:t>021000089</w:t>
      </w:r>
    </w:p>
    <w:p>
      <w:pPr>
        <w:pStyle w:val="Normal"/>
        <w:ind w:start="720" w:end="0"/>
        <w:rPr/>
      </w:pPr>
      <w:r>
        <w:rPr/>
        <w:t>Credit:</w:t>
        <w:tab/>
        <w:tab/>
        <w:t>Niagara Mohawk Power Corporation</w:t>
      </w:r>
    </w:p>
    <w:p>
      <w:pPr>
        <w:pStyle w:val="Normal"/>
        <w:ind w:start="720" w:end="0"/>
        <w:rPr/>
      </w:pPr>
      <w:r>
        <w:rPr/>
        <w:t>Account #:</w:t>
        <w:tab/>
        <w:t>00040475</w:t>
      </w:r>
    </w:p>
    <w:p>
      <w:pPr>
        <w:pStyle w:val="Normal"/>
        <w:rPr/>
      </w:pPr>
      <w:r>
        <w:rPr/>
      </w:r>
    </w:p>
    <w:p>
      <w:pPr>
        <w:pStyle w:val="Normal"/>
        <w:ind w:start="720" w:end="0"/>
        <w:rPr/>
      </w:pPr>
      <w:r>
        <w:rPr/>
        <w:t>Account for payments to [COUNTERPARTY]:</w:t>
      </w:r>
    </w:p>
    <w:p>
      <w:pPr>
        <w:pStyle w:val="Normal"/>
        <w:ind w:start="720" w:end="0"/>
        <w:rPr/>
      </w:pPr>
      <w:r>
        <w:rPr/>
      </w:r>
    </w:p>
    <w:p>
      <w:pPr>
        <w:pStyle w:val="Normal"/>
        <w:ind w:start="720" w:end="0"/>
        <w:rPr/>
      </w:pPr>
      <w:r>
        <w:rPr/>
        <w:t>[Bank Name]</w:t>
      </w:r>
    </w:p>
    <w:p>
      <w:pPr>
        <w:pStyle w:val="Normal"/>
        <w:ind w:start="720" w:end="0"/>
        <w:rPr/>
      </w:pPr>
      <w:r>
        <w:rPr/>
        <w:t>ABA #:</w:t>
        <w:tab/>
        <w:tab/>
      </w:r>
    </w:p>
    <w:p>
      <w:pPr>
        <w:pStyle w:val="Normal"/>
        <w:ind w:start="720" w:end="0"/>
        <w:rPr/>
      </w:pPr>
      <w:r>
        <w:rPr/>
        <w:t>Credit:</w:t>
        <w:tab/>
        <w:tab/>
      </w:r>
    </w:p>
    <w:p>
      <w:pPr>
        <w:pStyle w:val="Normal"/>
        <w:ind w:start="720" w:end="0"/>
        <w:rPr/>
      </w:pPr>
      <w:r>
        <w:rPr/>
        <w:t>Account #:</w:t>
      </w:r>
    </w:p>
    <w:p>
      <w:pPr>
        <w:pStyle w:val="Normal"/>
        <w:ind w:start="720" w:end="0"/>
        <w:rPr/>
      </w:pPr>
      <w:r>
        <w:rPr/>
        <w:tab/>
      </w:r>
    </w:p>
    <w:p>
      <w:pPr>
        <w:pStyle w:val="PlainText"/>
        <w:rPr/>
      </w:pPr>
      <w:r>
        <w:rPr>
          <w:rFonts w:cs="Times New Roman" w:ascii="Times New Roman" w:hAnsi="Times New Roman"/>
          <w:b/>
        </w:rPr>
        <w:t>11.</w:t>
        <w:tab/>
      </w:r>
      <w:r>
        <w:rPr>
          <w:rFonts w:cs="Times New Roman" w:ascii="Times New Roman" w:hAnsi="Times New Roman"/>
          <w:b/>
          <w:u w:val="single"/>
        </w:rPr>
        <w:t>Notices</w:t>
      </w:r>
    </w:p>
    <w:p>
      <w:pPr>
        <w:pStyle w:val="PlainText"/>
        <w:rPr>
          <w:rFonts w:ascii="Times New Roman" w:hAnsi="Times New Roman" w:cs="Times New Roman"/>
          <w:b/>
          <w:u w:val="single"/>
        </w:rPr>
      </w:pPr>
      <w:r>
        <w:rPr>
          <w:rFonts w:cs="Times New Roman" w:ascii="Times New Roman" w:hAnsi="Times New Roman"/>
          <w:b/>
          <w:u w:val="single"/>
        </w:rPr>
      </w:r>
    </w:p>
    <w:p>
      <w:pPr>
        <w:pStyle w:val="PlainText"/>
        <w:rPr>
          <w:rFonts w:ascii="Times New Roman" w:hAnsi="Times New Roman" w:cs="Times New Roman"/>
        </w:rPr>
      </w:pPr>
      <w:r>
        <w:rPr>
          <w:rFonts w:cs="Times New Roman" w:ascii="Times New Roman" w:hAnsi="Times New Roman"/>
        </w:rPr>
        <w:t>All written notifications required by this Agreement shall be delivered by letter, facsimile or other documentary form.  Notice by facsimile or hand delivery shall be deemed to have been received by the close of the Business Day on which it was transmitted or hand delivered (unless transmitted or hand delivered after close of business in which case it shall be deemed received at the close of the next Business Day).  Notice by overnight mail or courier shall be deemed to have been received one Business Day after it was sent.  All notices shall be directed to the following:</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t>To Niagara Mohawk Power Corporation:</w:t>
        <w:tab/>
        <w:tab/>
        <w:tab/>
        <w:t>To [COUNTERPARTY]:</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t>Niagara Mohawk Power Corporation</w:t>
        <w:tab/>
        <w:tab/>
        <w:tab/>
        <w:t xml:space="preserve">COUNTERPARTY </w:t>
      </w:r>
    </w:p>
    <w:p>
      <w:pPr>
        <w:pStyle w:val="PlainText"/>
        <w:rPr>
          <w:rFonts w:ascii="Times New Roman" w:hAnsi="Times New Roman" w:cs="Times New Roman"/>
        </w:rPr>
      </w:pPr>
      <w:r>
        <w:rPr>
          <w:rFonts w:cs="Times New Roman" w:ascii="Times New Roman" w:hAnsi="Times New Roman"/>
        </w:rPr>
        <w:t>Director – Energy Transactions</w:t>
        <w:tab/>
        <w:tab/>
        <w:tab/>
        <w:tab/>
        <w:t>Title</w:t>
      </w:r>
    </w:p>
    <w:p>
      <w:pPr>
        <w:pStyle w:val="PlainText"/>
        <w:rPr>
          <w:rFonts w:ascii="Times New Roman" w:hAnsi="Times New Roman" w:cs="Times New Roman"/>
        </w:rPr>
      </w:pPr>
      <w:r>
        <w:rPr>
          <w:rFonts w:cs="Times New Roman" w:ascii="Times New Roman" w:hAnsi="Times New Roman"/>
        </w:rPr>
        <w:t>300 Erie Boulevard West</w:t>
        <w:tab/>
        <w:tab/>
        <w:tab/>
        <w:tab/>
        <w:tab/>
        <w:t>Address</w:t>
      </w:r>
    </w:p>
    <w:p>
      <w:pPr>
        <w:pStyle w:val="PlainText"/>
        <w:rPr>
          <w:rFonts w:ascii="Times New Roman" w:hAnsi="Times New Roman" w:cs="Times New Roman"/>
        </w:rPr>
      </w:pPr>
      <w:r>
        <w:rPr>
          <w:rFonts w:cs="Times New Roman" w:ascii="Times New Roman" w:hAnsi="Times New Roman"/>
        </w:rPr>
        <w:t>Syracuse, NY 13202-4250</w:t>
        <w:tab/>
        <w:tab/>
        <w:tab/>
        <w:tab/>
        <w:tab/>
        <w:t>Address</w:t>
      </w:r>
    </w:p>
    <w:p>
      <w:pPr>
        <w:pStyle w:val="PlainText"/>
        <w:rPr>
          <w:rFonts w:ascii="Times New Roman" w:hAnsi="Times New Roman" w:cs="Times New Roman"/>
        </w:rPr>
      </w:pPr>
      <w:r>
        <w:rPr>
          <w:rFonts w:cs="Times New Roman" w:ascii="Times New Roman" w:hAnsi="Times New Roman"/>
        </w:rPr>
        <w:t>Phone: (315) 428-6006</w:t>
        <w:tab/>
        <w:tab/>
        <w:tab/>
        <w:tab/>
        <w:tab/>
        <w:t>Phone:</w:t>
      </w:r>
    </w:p>
    <w:p>
      <w:pPr>
        <w:pStyle w:val="Normal"/>
        <w:rPr/>
      </w:pPr>
      <w:r>
        <w:rPr/>
        <w:t>Fax: (315) 460-2660</w:t>
        <w:tab/>
        <w:tab/>
        <w:tab/>
        <w:tab/>
        <w:tab/>
        <w:t xml:space="preserve">Fax: </w:t>
      </w:r>
      <w:r>
        <w:br w:type="page"/>
      </w:r>
    </w:p>
    <w:p>
      <w:pPr>
        <w:pStyle w:val="Normal"/>
        <w:rPr/>
      </w:pPr>
      <w:r>
        <w:rPr/>
        <w:t>Please confirm that the foregoing correctly sets forth the terms and conditions of our agreement by returning via facsimile an executed copy of this Confirmation within three (3) Business Days of your receipt of this Confirmation.</w:t>
      </w:r>
    </w:p>
    <w:p>
      <w:pPr>
        <w:pStyle w:val="Normal"/>
        <w:jc w:val="both"/>
        <w:rPr/>
      </w:pPr>
      <w:r>
        <w:rPr/>
      </w:r>
    </w:p>
    <w:p>
      <w:pPr>
        <w:pStyle w:val="Normal"/>
        <w:rPr/>
      </w:pPr>
      <w:r>
        <w:rPr/>
        <w:t>Failure to respond within such period will not affect the validity or enforceability of this Transaction, and shall be deemed to be an affirmation of the terms and conditions contained herein, absent manifest error.</w:t>
      </w:r>
    </w:p>
    <w:p>
      <w:pPr>
        <w:pStyle w:val="Normal"/>
        <w:keepNext w:val="true"/>
        <w:keepLines/>
        <w:rPr/>
      </w:pPr>
      <w:r>
        <w:rPr/>
      </w:r>
    </w:p>
    <w:p>
      <w:pPr>
        <w:pStyle w:val="Normal"/>
        <w:keepNext w:val="true"/>
        <w:keepLines/>
        <w:rPr/>
      </w:pPr>
      <w:r>
        <w:rPr/>
      </w:r>
    </w:p>
    <w:p>
      <w:pPr>
        <w:pStyle w:val="Normal"/>
        <w:keepNext w:val="true"/>
        <w:keepLines/>
        <w:rPr/>
      </w:pPr>
      <w:r>
        <w:rPr/>
      </w:r>
    </w:p>
    <w:p>
      <w:pPr>
        <w:pStyle w:val="PlainText"/>
        <w:rPr>
          <w:rFonts w:ascii="Times New Roman" w:hAnsi="Times New Roman" w:cs="Times New Roman"/>
          <w:b/>
        </w:rPr>
      </w:pPr>
      <w:r>
        <w:rPr>
          <w:rFonts w:cs="Times New Roman" w:ascii="Times New Roman" w:hAnsi="Times New Roman"/>
          <w:b/>
        </w:rPr>
        <w:t>NIAGARA MOHAWK POWER CORPORATION</w:t>
      </w:r>
    </w:p>
    <w:p>
      <w:pPr>
        <w:pStyle w:val="Normal"/>
        <w:ind w:hanging="720" w:start="720" w:end="0"/>
        <w:rPr>
          <w:rFonts w:ascii="Times New Roman" w:hAnsi="Times New Roman" w:cs="Times New Roman"/>
          <w:b/>
        </w:rPr>
      </w:pPr>
      <w:r>
        <w:rPr>
          <w:rFonts w:cs="Times New Roman"/>
          <w:b/>
        </w:rPr>
      </w:r>
    </w:p>
    <w:p>
      <w:pPr>
        <w:pStyle w:val="Normal"/>
        <w:ind w:hanging="720" w:start="720" w:end="0"/>
        <w:rPr/>
      </w:pPr>
      <w:r>
        <w:rPr/>
      </w:r>
    </w:p>
    <w:p>
      <w:pPr>
        <w:pStyle w:val="Normal"/>
        <w:ind w:hanging="720" w:start="720" w:end="0"/>
        <w:rPr/>
      </w:pPr>
      <w:r>
        <w:rPr/>
        <w:t>By:</w:t>
        <w:tab/>
      </w:r>
      <w:r>
        <w:rPr>
          <w:u w:val="single"/>
        </w:rPr>
        <w:tab/>
        <w:tab/>
        <w:tab/>
        <w:tab/>
        <w:tab/>
      </w:r>
    </w:p>
    <w:p>
      <w:pPr>
        <w:pStyle w:val="Normal"/>
        <w:ind w:hanging="720" w:start="720" w:end="0"/>
        <w:rPr/>
      </w:pPr>
      <w:r>
        <w:rPr/>
        <w:tab/>
        <w:t>Clement E. Nadeau</w:t>
      </w:r>
    </w:p>
    <w:p>
      <w:pPr>
        <w:pStyle w:val="Normal"/>
        <w:ind w:hanging="720" w:start="720" w:end="0"/>
        <w:rPr/>
      </w:pPr>
      <w:r>
        <w:rPr/>
        <w:tab/>
        <w:t>Vice President – Electric Delivery</w:t>
      </w:r>
    </w:p>
    <w:p>
      <w:pPr>
        <w:pStyle w:val="Normal"/>
        <w:ind w:hanging="720" w:start="720" w:end="0"/>
        <w:rPr/>
      </w:pPr>
      <w:r>
        <w:rPr/>
      </w:r>
    </w:p>
    <w:p>
      <w:pPr>
        <w:pStyle w:val="Normal"/>
        <w:ind w:hanging="720" w:start="720" w:end="0"/>
        <w:rPr/>
      </w:pPr>
      <w:r>
        <w:rPr/>
        <w:t>Date:</w:t>
        <w:tab/>
      </w:r>
      <w:r>
        <w:rPr>
          <w:u w:val="single"/>
        </w:rPr>
        <w:tab/>
        <w:tab/>
        <w:tab/>
        <w:tab/>
        <w:tab/>
      </w:r>
    </w:p>
    <w:p>
      <w:pPr>
        <w:pStyle w:val="PlainText"/>
        <w:rPr>
          <w:rFonts w:ascii="Times New Roman" w:hAnsi="Times New Roman" w:cs="Times New Roman"/>
          <w:b/>
          <w:u w:val="single"/>
        </w:rPr>
      </w:pPr>
      <w:r>
        <w:rPr>
          <w:rFonts w:cs="Times New Roman" w:ascii="Times New Roman" w:hAnsi="Times New Roman"/>
          <w:b/>
          <w:u w:val="single"/>
        </w:rPr>
      </w:r>
    </w:p>
    <w:p>
      <w:pPr>
        <w:pStyle w:val="PlainText"/>
        <w:rPr>
          <w:rFonts w:ascii="Times New Roman" w:hAnsi="Times New Roman" w:cs="Times New Roman"/>
          <w:b/>
        </w:rPr>
      </w:pPr>
      <w:r>
        <w:rPr>
          <w:rFonts w:cs="Times New Roman" w:ascii="Times New Roman" w:hAnsi="Times New Roman"/>
          <w:b/>
        </w:rPr>
      </w:r>
    </w:p>
    <w:p>
      <w:pPr>
        <w:pStyle w:val="PlainText"/>
        <w:rPr>
          <w:rFonts w:ascii="Times New Roman" w:hAnsi="Times New Roman" w:cs="Times New Roman"/>
          <w:b/>
        </w:rPr>
      </w:pPr>
      <w:r>
        <w:rPr>
          <w:rFonts w:cs="Times New Roman" w:ascii="Times New Roman" w:hAnsi="Times New Roman"/>
          <w:b/>
        </w:rPr>
      </w:r>
    </w:p>
    <w:p>
      <w:pPr>
        <w:pStyle w:val="PlainText"/>
        <w:rPr>
          <w:rFonts w:ascii="Times New Roman" w:hAnsi="Times New Roman" w:cs="Times New Roman"/>
          <w:b/>
        </w:rPr>
      </w:pPr>
      <w:r>
        <w:rPr>
          <w:rFonts w:cs="Times New Roman" w:ascii="Times New Roman" w:hAnsi="Times New Roman"/>
          <w:b/>
        </w:rPr>
        <w:t xml:space="preserve">[COUNTERPARTY] </w:t>
      </w:r>
    </w:p>
    <w:p>
      <w:pPr>
        <w:pStyle w:val="Normal"/>
        <w:ind w:hanging="720" w:start="720" w:end="0"/>
        <w:rPr>
          <w:rFonts w:ascii="Times New Roman" w:hAnsi="Times New Roman" w:cs="Times New Roman"/>
          <w:b/>
        </w:rPr>
      </w:pPr>
      <w:r>
        <w:rPr>
          <w:rFonts w:cs="Times New Roman"/>
          <w:b/>
        </w:rPr>
      </w:r>
    </w:p>
    <w:p>
      <w:pPr>
        <w:pStyle w:val="Normal"/>
        <w:ind w:hanging="720" w:start="720" w:end="0"/>
        <w:rPr/>
      </w:pPr>
      <w:r>
        <w:rPr/>
        <w:t>By:</w:t>
        <w:tab/>
      </w:r>
      <w:r>
        <w:rPr>
          <w:u w:val="single"/>
        </w:rPr>
        <w:tab/>
        <w:tab/>
        <w:tab/>
        <w:tab/>
        <w:tab/>
      </w:r>
    </w:p>
    <w:p>
      <w:pPr>
        <w:pStyle w:val="Heading9"/>
        <w:ind w:hanging="0" w:start="0"/>
        <w:jc w:val="start"/>
        <w:rPr>
          <w:b w:val="false"/>
        </w:rPr>
      </w:pPr>
      <w:r>
        <w:rPr>
          <w:b w:val="false"/>
        </w:rPr>
        <w:tab/>
        <w:t>name</w:t>
        <w:tab/>
        <w:tab/>
        <w:tab/>
      </w:r>
    </w:p>
    <w:p>
      <w:pPr>
        <w:pStyle w:val="Normal"/>
        <w:ind w:hanging="720" w:start="720" w:end="0"/>
        <w:rPr/>
      </w:pPr>
      <w:r>
        <w:rPr/>
        <w:tab/>
        <w:t>title</w:t>
        <w:tab/>
        <w:tab/>
        <w:tab/>
        <w:tab/>
        <w:tab/>
      </w:r>
    </w:p>
    <w:p>
      <w:pPr>
        <w:pStyle w:val="Normal"/>
        <w:ind w:hanging="720" w:start="720" w:end="0"/>
        <w:rPr/>
      </w:pPr>
      <w:r>
        <w:rPr/>
      </w:r>
    </w:p>
    <w:p>
      <w:pPr>
        <w:pStyle w:val="Normal"/>
        <w:rPr/>
      </w:pPr>
      <w:r>
        <w:rPr/>
        <w:t>Date:</w:t>
        <w:tab/>
      </w:r>
      <w:r>
        <w:rPr>
          <w:u w:val="single"/>
        </w:rPr>
        <w:tab/>
        <w:tab/>
        <w:tab/>
        <w:tab/>
        <w:tab/>
      </w:r>
      <w:r>
        <w:br w:type="page"/>
      </w:r>
    </w:p>
    <w:p>
      <w:pPr>
        <w:pStyle w:val="Normal"/>
        <w:jc w:val="center"/>
        <w:rPr>
          <w:b/>
          <w:sz w:val="24"/>
        </w:rPr>
      </w:pPr>
      <w:r>
        <w:rPr>
          <w:b/>
          <w:sz w:val="24"/>
        </w:rPr>
        <w:t>SCHEDULE A</w:t>
      </w:r>
    </w:p>
    <w:p>
      <w:pPr>
        <w:pStyle w:val="Heading1"/>
        <w:ind w:start="0" w:end="0"/>
        <w:jc w:val="center"/>
        <w:rPr>
          <w:rFonts w:ascii="Times New Roman" w:hAnsi="Times New Roman" w:cs="Times New Roman"/>
          <w:b/>
        </w:rPr>
      </w:pPr>
      <w:r>
        <w:rPr>
          <w:rFonts w:cs="Times New Roman" w:ascii="Times New Roman" w:hAnsi="Times New Roman"/>
          <w:b/>
        </w:rPr>
        <w:t>Notional Quantity &amp; Fixed Price</w:t>
      </w:r>
    </w:p>
    <w:p>
      <w:pPr>
        <w:pStyle w:val="Normal"/>
        <w:rPr/>
      </w:pPr>
      <w:r>
        <w:rPr/>
      </w:r>
    </w:p>
    <w:p>
      <w:pPr>
        <w:pStyle w:val="Normal"/>
        <w:rPr/>
      </w:pPr>
      <w:r>
        <w:rPr/>
      </w:r>
    </w:p>
    <w:tbl>
      <w:tblPr>
        <w:tblW w:w="8640" w:type="dxa"/>
        <w:jc w:val="center"/>
        <w:tblInd w:w="0"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pPr>
            <w:r>
              <w:rPr/>
              <w:t>Block</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pPr>
            <w:r>
              <w:rPr/>
              <w:t>Month</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58"/>
              <w:jc w:val="center"/>
              <w:rPr>
                <w:b/>
              </w:rPr>
            </w:pPr>
            <w:r>
              <w:rPr>
                <w:b/>
              </w:rPr>
              <w:t>Notional Quantity</w:t>
            </w:r>
          </w:p>
          <w:p>
            <w:pPr>
              <w:pStyle w:val="Normal"/>
              <w:jc w:val="center"/>
              <w:rPr>
                <w:b/>
              </w:rPr>
            </w:pPr>
            <w:r>
              <w:rPr>
                <w:b/>
              </w:rPr>
              <w:t>(Dt)</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58"/>
              <w:jc w:val="center"/>
              <w:rPr>
                <w:b/>
              </w:rPr>
            </w:pPr>
            <w:r>
              <w:rPr>
                <w:b/>
              </w:rPr>
              <w:t>Fixed Price *</w:t>
            </w:r>
          </w:p>
          <w:p>
            <w:pPr>
              <w:pStyle w:val="Normal"/>
              <w:jc w:val="center"/>
              <w:rPr>
                <w:b/>
              </w:rPr>
            </w:pPr>
            <w:r>
              <w:rPr>
                <w:b/>
              </w:rPr>
              <w:t>(US$/Dt)</w:t>
            </w:r>
          </w:p>
        </w:tc>
      </w:tr>
      <w:tr>
        <w:trPr>
          <w:trHeight w:val="360" w:hRule="exact"/>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Heading9"/>
              <w:ind w:hanging="0" w:start="0"/>
              <w:rPr/>
            </w:pPr>
            <w:r>
              <w:rPr/>
              <w:t>Winter Block</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October 2000</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November 2000</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December 2000</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January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February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March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Heading9"/>
              <w:ind w:hanging="0" w:start="0"/>
              <w:rPr/>
            </w:pPr>
            <w:r>
              <w:rPr/>
              <w:t>Summer Block</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April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May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June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July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360" w:hRule="exac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August 2001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rPr/>
      </w:pPr>
      <w:r>
        <w:rPr/>
      </w:r>
    </w:p>
    <w:sectPr>
      <w:footerReference w:type="default" r:id="rId3"/>
      <w:footerReference w:type="first" r:id="rId4"/>
      <w:type w:val="nextPage"/>
      <w:pgSz w:w="12240" w:h="15840"/>
      <w:pgMar w:left="1080" w:right="1080" w:gutter="0" w:header="0" w:top="720"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Arial Narrow" w:hAnsi="Arial Narrow" w:cs="Arial Narrow"/>
        <w:sz w:val="16"/>
      </w:rPr>
    </w:pPr>
    <w:r>
      <w:rPr>
        <w:rFonts w:cs="Arial Narrow" w:ascii="Arial Narrow" w:hAnsi="Arial Narrow"/>
        <w:sz w:val="16"/>
      </w:rPr>
      <w:t>300 Erie Boulevard West, Syracuse, New York  13202-4250 · www.niagaramohawk.com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300 Erie Boulevard West, Syracuse, New York  13202-4250 · www.niagaramohawk.com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u w:val="none"/>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4320" w:end="0"/>
      <w:outlineLvl w:val="0"/>
    </w:pPr>
    <w:rPr>
      <w:rFonts w:ascii="Arial" w:hAnsi="Arial" w:cs="Arial"/>
      <w:sz w:val="24"/>
    </w:rPr>
  </w:style>
  <w:style w:type="paragraph" w:styleId="Heading2">
    <w:name w:val="heading 2"/>
    <w:basedOn w:val="Normal"/>
    <w:next w:val="Normal"/>
    <w:qFormat/>
    <w:pPr>
      <w:keepNext w:val="true"/>
      <w:numPr>
        <w:ilvl w:val="1"/>
        <w:numId w:val="1"/>
      </w:numPr>
      <w:ind w:firstLine="720" w:start="3600" w:end="0"/>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jc w:val="end"/>
      <w:outlineLvl w:val="3"/>
    </w:pPr>
    <w:rPr>
      <w:rFonts w:ascii="Arial" w:hAnsi="Arial" w:cs="Arial"/>
      <w:sz w:val="24"/>
    </w:rPr>
  </w:style>
  <w:style w:type="paragraph" w:styleId="Heading5">
    <w:name w:val="heading 5"/>
    <w:basedOn w:val="Normal"/>
    <w:next w:val="Normal"/>
    <w:qFormat/>
    <w:pPr>
      <w:keepNext w:val="true"/>
      <w:numPr>
        <w:ilvl w:val="4"/>
        <w:numId w:val="1"/>
      </w:numPr>
      <w:ind w:hanging="0" w:start="540" w:end="720"/>
      <w:jc w:val="center"/>
      <w:outlineLvl w:val="4"/>
    </w:pPr>
    <w:rPr>
      <w:rFonts w:ascii="CG Times" w:hAnsi="CG Times" w:cs="CG Times"/>
      <w:sz w:val="24"/>
    </w:rPr>
  </w:style>
  <w:style w:type="paragraph" w:styleId="Heading6">
    <w:name w:val="heading 6"/>
    <w:basedOn w:val="Normal"/>
    <w:next w:val="Normal"/>
    <w:qFormat/>
    <w:pPr>
      <w:keepNext w:val="true"/>
      <w:numPr>
        <w:ilvl w:val="5"/>
        <w:numId w:val="1"/>
      </w:numPr>
      <w:tabs>
        <w:tab w:val="clear" w:pos="720"/>
        <w:tab w:val="left" w:pos="6480" w:leader="none"/>
      </w:tabs>
      <w:ind w:hanging="0" w:start="540" w:end="720"/>
      <w:outlineLvl w:val="5"/>
    </w:pPr>
    <w:rPr>
      <w:rFonts w:ascii="CG Times" w:hAnsi="CG Times" w:cs="CG Times"/>
      <w:sz w:val="24"/>
    </w:rPr>
  </w:style>
  <w:style w:type="paragraph" w:styleId="Heading7">
    <w:name w:val="heading 7"/>
    <w:basedOn w:val="Normal"/>
    <w:next w:val="Normal"/>
    <w:qFormat/>
    <w:pPr>
      <w:keepNext w:val="true"/>
      <w:numPr>
        <w:ilvl w:val="6"/>
        <w:numId w:val="1"/>
      </w:numPr>
      <w:ind w:hanging="0" w:start="900" w:end="720"/>
      <w:outlineLvl w:val="6"/>
    </w:pPr>
    <w:rPr>
      <w:rFonts w:ascii="CG Times" w:hAnsi="CG Times" w:cs="CG Times"/>
      <w:sz w:val="24"/>
      <w:u w:val="single"/>
    </w:rPr>
  </w:style>
  <w:style w:type="paragraph" w:styleId="Heading8">
    <w:name w:val="heading 8"/>
    <w:basedOn w:val="Normal"/>
    <w:next w:val="Normal"/>
    <w:qFormat/>
    <w:pPr>
      <w:keepNext w:val="true"/>
      <w:numPr>
        <w:ilvl w:val="7"/>
        <w:numId w:val="1"/>
      </w:numPr>
      <w:ind w:hanging="0" w:start="540" w:end="720"/>
      <w:outlineLvl w:val="7"/>
    </w:pPr>
    <w:rPr>
      <w:rFonts w:ascii="CG Times" w:hAnsi="CG Times" w:cs="CG Times"/>
      <w:sz w:val="24"/>
      <w:u w:val="single"/>
    </w:rPr>
  </w:style>
  <w:style w:type="paragraph" w:styleId="Heading9">
    <w:name w:val="heading 9"/>
    <w:basedOn w:val="Normal"/>
    <w:next w:val="Normal"/>
    <w:qFormat/>
    <w:pPr>
      <w:keepNext w:val="true"/>
      <w:numPr>
        <w:ilvl w:val="8"/>
        <w:numId w:val="1"/>
      </w:numPr>
      <w:jc w:val="center"/>
      <w:outlineLvl w:val="8"/>
    </w:pPr>
    <w:rPr>
      <w:b/>
    </w:rPr>
  </w:style>
  <w:style w:type="character" w:styleId="WW8Num1z0">
    <w:name w:val="WW8Num1z0"/>
    <w:qFormat/>
    <w:rPr>
      <w:u w:val="single"/>
    </w:rPr>
  </w:style>
  <w:style w:type="character" w:styleId="WW8Num2z0">
    <w:name w:val="WW8Num2z0"/>
    <w:qFormat/>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b/>
    </w:rPr>
  </w:style>
  <w:style w:type="character" w:styleId="WW8Num6z0">
    <w:name w:val="WW8Num6z0"/>
    <w:qFormat/>
    <w:rPr>
      <w:u w:val="single"/>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FootnoteText">
    <w:name w:val="footnote text"/>
    <w:basedOn w:val="Normal"/>
    <w:pPr/>
    <w:rPr/>
  </w:style>
  <w:style w:type="paragraph" w:styleId="BodyText3">
    <w:name w:val="Body Text 3"/>
    <w:basedOn w:val="Normal"/>
    <w:qFormat/>
    <w:pPr>
      <w:jc w:val="both"/>
    </w:pPr>
    <w:rPr/>
  </w:style>
  <w:style w:type="paragraph" w:styleId="BodyTextIndent">
    <w:name w:val="Body Text Indent"/>
    <w:basedOn w:val="Normal"/>
    <w:pPr>
      <w:tabs>
        <w:tab w:val="clear" w:pos="720"/>
        <w:tab w:val="left" w:pos="-1440" w:leader="none"/>
      </w:tabs>
      <w:ind w:hanging="0" w:start="3600" w:end="0"/>
    </w:pPr>
    <w:rPr/>
  </w:style>
  <w:style w:type="paragraph" w:styleId="BodyTextIndent2">
    <w:name w:val="Body Text Indent 2"/>
    <w:basedOn w:val="Normal"/>
    <w:qFormat/>
    <w:pPr>
      <w:ind w:hanging="2880" w:start="3600" w:end="0"/>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Nmletter.dot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2000-08-09T10:47:00Z</dcterms:created>
  <dc:creator>Wendie Paro</dc:creator>
  <dc:description/>
  <dc:language>en-CA</dc:language>
  <cp:lastModifiedBy>Jeffery A. Glose</cp:lastModifiedBy>
  <cp:lastPrinted>2000-08-17T14:02:00Z</cp:lastPrinted>
  <dcterms:modified xsi:type="dcterms:W3CDTF">2000-08-18T09:06:00Z</dcterms:modified>
  <cp:revision>29</cp:revision>
  <dc:subject/>
  <dc:title> </dc:title>
</cp:coreProperties>
</file>