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xNormal"/>
        <w:shd w:fill="FFFFFF" w:val="clear"/>
        <w:tabs>
          <w:tab w:val="clear" w:pos="720"/>
          <w:tab w:val="clear" w:pos="1440"/>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center"/>
        <w:rPr>
          <w:b/>
          <w:sz w:val="20"/>
        </w:rPr>
      </w:pPr>
      <w:r>
        <w:rPr>
          <w:b/>
          <w:sz w:val="20"/>
        </w:rPr>
        <w:t>ISDA SWAP CONFIRMATION</w:t>
      </w:r>
    </w:p>
    <w:p>
      <w:pPr>
        <w:pStyle w:val="axNormal"/>
        <w:shd w:fill="FFFFFF" w:val="clear"/>
        <w:tabs>
          <w:tab w:val="clear" w:pos="720"/>
          <w:tab w:val="clear" w:pos="1440"/>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b/>
          <w:sz w:val="20"/>
        </w:rPr>
      </w:pPr>
      <w:r>
        <w:rPr>
          <w:b/>
          <w:sz w:val="20"/>
        </w:rPr>
      </w:r>
    </w:p>
    <w:p>
      <w:pPr>
        <w:pStyle w:val="axNormal"/>
        <w:shd w:fill="FFFFFF" w:val="clear"/>
        <w:tabs>
          <w:tab w:val="clear" w:pos="720"/>
          <w:tab w:val="clear" w:pos="1440"/>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sz w:val="20"/>
        </w:rPr>
      </w:pPr>
      <w:r>
        <w:rPr>
          <w:sz w:val="20"/>
        </w:rPr>
        <w:t xml:space="preserve">DATE:   </w:t>
        <w:tab/>
        <w:t>April 23, 2001</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s>
        <w:ind w:hanging="792" w:start="2592" w:end="0"/>
        <w:rPr>
          <w:sz w:val="20"/>
        </w:rPr>
      </w:pPr>
      <w:r>
        <w:rPr>
          <w:sz w:val="20"/>
        </w:rPr>
      </w:r>
    </w:p>
    <w:p>
      <w:pPr>
        <w:pStyle w:val="axNormal"/>
        <w:shd w:fill="FFFFFF" w:val="clear"/>
        <w:tabs>
          <w:tab w:val="clear" w:pos="720"/>
          <w:tab w:val="clear" w:pos="1440"/>
          <w:tab w:val="clear" w:pos="2160"/>
          <w:tab w:val="left" w:pos="4320" w:leader="none"/>
          <w:tab w:val="left" w:pos="5040" w:leader="none"/>
          <w:tab w:val="left" w:pos="5760" w:leader="none"/>
          <w:tab w:val="left" w:pos="6480" w:leader="none"/>
        </w:tabs>
        <w:spacing w:lineRule="atLeast" w:line="198"/>
        <w:ind w:hanging="2160" w:start="2160" w:end="0"/>
        <w:rPr>
          <w:sz w:val="20"/>
        </w:rPr>
      </w:pPr>
      <w:r>
        <w:rPr>
          <w:sz w:val="20"/>
        </w:rPr>
        <w:t xml:space="preserve">TO: </w:t>
        <w:tab/>
        <w:t>Company X ("COUNTERPARTY")</w:t>
      </w:r>
    </w:p>
    <w:p>
      <w:pPr>
        <w:pStyle w:val="axNormal"/>
        <w:shd w:fill="FFFFFF" w:val="clear"/>
        <w:tabs>
          <w:tab w:val="clear" w:pos="720"/>
          <w:tab w:val="clear" w:pos="1440"/>
          <w:tab w:val="clear" w:pos="2160"/>
          <w:tab w:val="left" w:pos="4320" w:leader="none"/>
          <w:tab w:val="left" w:pos="5040" w:leader="none"/>
          <w:tab w:val="left" w:pos="5760" w:leader="none"/>
          <w:tab w:val="left" w:pos="6480" w:leader="none"/>
        </w:tabs>
        <w:spacing w:lineRule="atLeast" w:line="198"/>
        <w:ind w:hanging="2592" w:start="2160" w:end="0"/>
        <w:rPr>
          <w:sz w:val="20"/>
        </w:rPr>
      </w:pPr>
      <w:r>
        <w:rPr>
          <w:sz w:val="20"/>
        </w:rPr>
        <w:tab/>
        <w:t>Street Address</w:t>
      </w:r>
    </w:p>
    <w:p>
      <w:pPr>
        <w:pStyle w:val="axNormal"/>
        <w:shd w:fill="FFFFFF"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tLeast" w:line="198"/>
        <w:rPr>
          <w:sz w:val="20"/>
        </w:rPr>
      </w:pPr>
      <w:r>
        <w:rPr>
          <w:sz w:val="20"/>
        </w:rPr>
        <w:tab/>
        <w:tab/>
        <w:tab/>
        <w:t>City, St  Zipcode</w:t>
      </w:r>
    </w:p>
    <w:p>
      <w:pPr>
        <w:pStyle w:val="axNormal"/>
        <w:shd w:fill="FFFFFF" w:val="clear"/>
        <w:tabs>
          <w:tab w:val="clear" w:pos="1440"/>
          <w:tab w:val="left" w:pos="72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sz w:val="20"/>
        </w:rPr>
      </w:pPr>
      <w:r>
        <w:rPr>
          <w:sz w:val="20"/>
        </w:rPr>
      </w:r>
    </w:p>
    <w:p>
      <w:pPr>
        <w:pStyle w:val="axNormal"/>
        <w:shd w:fill="FFFFFF" w:val="clear"/>
        <w:tabs>
          <w:tab w:val="clear" w:pos="1440"/>
          <w:tab w:val="left" w:pos="72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sz w:val="20"/>
        </w:rPr>
      </w:pPr>
      <w:r>
        <w:rPr>
          <w:sz w:val="20"/>
        </w:rPr>
        <w:t>ATTN:</w:t>
        <w:tab/>
        <w:tab/>
        <w:t>Contact</w:t>
      </w:r>
    </w:p>
    <w:p>
      <w:pPr>
        <w:pStyle w:val="axNormal"/>
        <w:shd w:fill="FFFFFF" w:val="clear"/>
        <w:tabs>
          <w:tab w:val="clear" w:pos="720"/>
          <w:tab w:val="clear" w:pos="1440"/>
          <w:tab w:val="clear" w:pos="2160"/>
          <w:tab w:val="left" w:pos="9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r>
    </w:p>
    <w:p>
      <w:pPr>
        <w:pStyle w:val="axNormal"/>
        <w:shd w:fill="FFFFFF" w:val="clear"/>
        <w:tabs>
          <w:tab w:val="clear" w:pos="1440"/>
          <w:tab w:val="left" w:pos="72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sz w:val="20"/>
        </w:rPr>
      </w:pPr>
      <w:r>
        <w:rPr>
          <w:sz w:val="20"/>
        </w:rPr>
        <w:t>FAX:</w:t>
        <w:tab/>
        <w:tab/>
        <w:tab/>
        <w:tab/>
      </w:r>
    </w:p>
    <w:p>
      <w:pPr>
        <w:pStyle w:val="axNormal"/>
        <w:shd w:fill="FFFFFF" w:val="clear"/>
        <w:tabs>
          <w:tab w:val="clear" w:pos="720"/>
          <w:tab w:val="clear" w:pos="1440"/>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sz w:val="20"/>
        </w:rPr>
      </w:pPr>
      <w:r>
        <w:rPr>
          <w:sz w:val="20"/>
        </w:rPr>
      </w:r>
    </w:p>
    <w:p>
      <w:pPr>
        <w:pStyle w:val="axNormal"/>
        <w:shd w:fill="FFFFFF" w:val="clear"/>
        <w:tabs>
          <w:tab w:val="clear" w:pos="720"/>
          <w:tab w:val="clear" w:pos="1440"/>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pPr>
      <w:r>
        <w:rPr/>
        <w:t>FROM</w:t>
      </w:r>
      <w:r>
        <w:rPr>
          <w:sz w:val="20"/>
        </w:rPr>
        <w:t xml:space="preserve">: </w:t>
        <w:tab/>
        <w:t>Merchant Energy Group of the Americas Inc. ("MEGA")</w:t>
      </w:r>
    </w:p>
    <w:p>
      <w:pPr>
        <w:pStyle w:val="axNormal"/>
        <w:shd w:fill="FFFFFF" w:val="clear"/>
        <w:tabs>
          <w:tab w:val="clear" w:pos="1440"/>
          <w:tab w:val="left" w:pos="72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sz w:val="20"/>
        </w:rPr>
      </w:pPr>
      <w:r>
        <w:rPr>
          <w:sz w:val="20"/>
        </w:rPr>
        <w:tab/>
        <w:tab/>
        <w:t>151 West Street, Suite 300</w:t>
      </w:r>
    </w:p>
    <w:p>
      <w:pPr>
        <w:pStyle w:val="axNormal"/>
        <w:shd w:fill="FFFFFF" w:val="clear"/>
        <w:tabs>
          <w:tab w:val="clear" w:pos="1440"/>
          <w:tab w:val="left" w:pos="72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sz w:val="20"/>
        </w:rPr>
      </w:pPr>
      <w:r>
        <w:rPr>
          <w:sz w:val="20"/>
        </w:rPr>
        <w:tab/>
        <w:tab/>
        <w:t xml:space="preserve">Annapolis, MD 21401   </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r>
    </w:p>
    <w:p>
      <w:pPr>
        <w:pStyle w:val="axNormal"/>
        <w:shd w:fill="FFFFFF" w:val="clear"/>
        <w:tabs>
          <w:tab w:val="clear" w:pos="1440"/>
          <w:tab w:val="left" w:pos="72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b/>
          <w:sz w:val="20"/>
        </w:rPr>
      </w:pPr>
      <w:r>
        <w:rPr>
          <w:b/>
          <w:sz w:val="20"/>
        </w:rPr>
        <w:t xml:space="preserve">RE: </w:t>
        <w:tab/>
        <w:tab/>
        <w:t>Commodity Swap - Cash Settled</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b/>
          <w:sz w:val="20"/>
        </w:rPr>
      </w:pPr>
      <w:r>
        <w:rPr>
          <w:b/>
          <w:sz w:val="20"/>
        </w:rPr>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sz w:val="20"/>
        </w:rPr>
      </w:pPr>
      <w:r>
        <w:rPr>
          <w:sz w:val="20"/>
        </w:rPr>
        <w:t>Dear Sir/Madam:</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sz w:val="20"/>
        </w:rPr>
      </w:pPr>
      <w:r>
        <w:rPr>
          <w:sz w:val="20"/>
        </w:rPr>
        <w:t>The purpose of this letter is to confirm the terms and conditions of the Transaction entered into between us on the Trade Date specified below (the "Transaction").  This letter agreement constitutes a "Confirmation" as referred to in the ISDA Master Agreement  specified below.</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sz w:val="20"/>
        </w:rPr>
      </w:pPr>
      <w:r>
        <w:rPr>
          <w:sz w:val="20"/>
        </w:rPr>
        <w:t>1. This Confirmation supplements, forms a part of, and is subject to, the ISDA Master Agreement dated as of  ___________ as amended and supplemented from time to time (the "Agreement") between you and us.  All provisions contained in the Agreement govern this Confirmation except as expressly modified below.</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sz w:val="20"/>
        </w:rPr>
      </w:pPr>
      <w:r>
        <w:rPr>
          <w:sz w:val="20"/>
        </w:rPr>
        <w:t>2. The Terms of the Transaction to which this Confirmation relates are as follows:</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sz w:val="20"/>
        </w:rPr>
      </w:pPr>
      <w:r>
        <w:rPr>
          <w:sz w:val="20"/>
        </w:rPr>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sz w:val="20"/>
        </w:rPr>
      </w:pPr>
      <w:r>
        <w:rPr>
          <w:sz w:val="20"/>
        </w:rPr>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592" w:end="0"/>
        <w:rPr>
          <w:b/>
          <w:sz w:val="20"/>
          <w:u w:val="single"/>
        </w:rPr>
      </w:pPr>
      <w:r>
        <w:rPr>
          <w:b/>
          <w:sz w:val="20"/>
          <w:u w:val="single"/>
        </w:rPr>
        <w:t>Floating Amount A Terms</w:t>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hanging="2592" w:start="2592" w:end="0"/>
        <w:rPr>
          <w:b/>
          <w:sz w:val="20"/>
          <w:u w:val="single"/>
        </w:rPr>
      </w:pPr>
      <w:r>
        <w:rPr>
          <w:b/>
          <w:sz w:val="20"/>
          <w:u w:val="single"/>
        </w:rPr>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592" w:end="0"/>
        <w:rPr>
          <w:sz w:val="20"/>
        </w:rPr>
      </w:pPr>
      <w:r>
        <w:rPr>
          <w:sz w:val="20"/>
        </w:rPr>
        <w:t>Notional Quantity Per</w:t>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592" w:end="0"/>
        <w:rPr>
          <w:sz w:val="20"/>
        </w:rPr>
      </w:pPr>
      <w:r>
        <w:rPr>
          <w:sz w:val="20"/>
        </w:rPr>
        <w:t>Calculation Period:</w:t>
        <w:tab/>
        <w:tab/>
        <w:t>26,760 MMBTU Per day</w:t>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hanging="2592" w:start="2592" w:end="0"/>
        <w:rPr>
          <w:sz w:val="20"/>
        </w:rPr>
      </w:pPr>
      <w:r>
        <w:rPr>
          <w:sz w:val="20"/>
        </w:rPr>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609" w:end="0"/>
        <w:rPr>
          <w:sz w:val="20"/>
        </w:rPr>
      </w:pPr>
      <w:r>
        <w:rPr>
          <w:sz w:val="20"/>
        </w:rPr>
        <w:t xml:space="preserve">Total Notional Quantity A:  </w:t>
        <w:tab/>
        <w:tab/>
        <w:t>2,435,160 MMBTU</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s>
        <w:ind w:start="2592" w:end="0"/>
        <w:rPr>
          <w:sz w:val="20"/>
        </w:rPr>
      </w:pPr>
      <w:r>
        <w:rPr>
          <w:sz w:val="20"/>
        </w:rPr>
      </w:r>
    </w:p>
    <w:p>
      <w:pPr>
        <w:pStyle w:val="axNormal"/>
        <w:shd w:fill="FFFFFF" w:val="clear"/>
        <w:tabs>
          <w:tab w:val="clear" w:pos="1440"/>
          <w:tab w:val="clear" w:pos="2160"/>
          <w:tab w:val="left" w:pos="720" w:leader="none"/>
          <w:tab w:val="left" w:pos="28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sz w:val="20"/>
        </w:rPr>
      </w:pPr>
      <w:r>
        <w:rPr>
          <w:sz w:val="20"/>
        </w:rPr>
        <w:t xml:space="preserve">Commodity: </w:t>
        <w:tab/>
        <w:t>As per Commodity Reference Price</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s>
        <w:ind w:start="2592" w:end="0"/>
        <w:rPr>
          <w:sz w:val="20"/>
        </w:rPr>
      </w:pPr>
      <w:r>
        <w:rPr>
          <w:sz w:val="20"/>
        </w:rPr>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592" w:end="0"/>
        <w:rPr>
          <w:b/>
          <w:sz w:val="20"/>
          <w:u w:val="single"/>
        </w:rPr>
      </w:pPr>
      <w:r>
        <w:rPr>
          <w:b/>
          <w:sz w:val="20"/>
          <w:u w:val="single"/>
        </w:rPr>
        <w:t>Floating Amount B Terms</w:t>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hanging="2592" w:start="2592" w:end="0"/>
        <w:rPr>
          <w:b/>
          <w:sz w:val="20"/>
          <w:u w:val="single"/>
        </w:rPr>
      </w:pPr>
      <w:r>
        <w:rPr>
          <w:b/>
          <w:sz w:val="20"/>
          <w:u w:val="single"/>
        </w:rPr>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592" w:end="0"/>
        <w:rPr>
          <w:sz w:val="20"/>
        </w:rPr>
      </w:pPr>
      <w:r>
        <w:rPr>
          <w:sz w:val="20"/>
        </w:rPr>
        <w:t>Notional Quantity Per</w:t>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592" w:end="0"/>
        <w:rPr>
          <w:sz w:val="20"/>
        </w:rPr>
      </w:pPr>
      <w:r>
        <w:rPr>
          <w:sz w:val="20"/>
        </w:rPr>
        <w:t xml:space="preserve">Calculation Period:   </w:t>
        <w:tab/>
        <w:tab/>
        <w:t>100 MW per hour (Baseload)</w:t>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hanging="2592" w:start="2592" w:end="0"/>
        <w:rPr>
          <w:sz w:val="20"/>
        </w:rPr>
      </w:pPr>
      <w:r>
        <w:rPr>
          <w:sz w:val="20"/>
        </w:rPr>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609" w:end="0"/>
        <w:rPr>
          <w:sz w:val="20"/>
        </w:rPr>
      </w:pPr>
      <w:r>
        <w:rPr>
          <w:sz w:val="20"/>
        </w:rPr>
        <w:t xml:space="preserve">Total Notional Quantity B:  </w:t>
        <w:tab/>
        <w:tab/>
        <w:t>218,400 MWH</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s>
        <w:ind w:hanging="2592" w:start="2592" w:end="0"/>
        <w:rPr>
          <w:sz w:val="20"/>
        </w:rPr>
      </w:pPr>
      <w:r>
        <w:rPr>
          <w:sz w:val="20"/>
        </w:rPr>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s>
        <w:spacing w:lineRule="atLeast" w:line="198"/>
        <w:ind w:hanging="2880" w:start="2880" w:end="0"/>
        <w:rPr>
          <w:sz w:val="20"/>
        </w:rPr>
      </w:pPr>
      <w:r>
        <w:rPr>
          <w:sz w:val="20"/>
        </w:rPr>
        <w:t xml:space="preserve">Commodity: </w:t>
        <w:tab/>
        <w:t>As per Commodity Reference Price</w:t>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hanging="2592" w:start="2592" w:end="0"/>
        <w:rPr>
          <w:sz w:val="20"/>
        </w:rPr>
      </w:pPr>
      <w:r>
        <w:rPr>
          <w:sz w:val="20"/>
        </w:rPr>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hanging="2592" w:start="2592" w:end="0"/>
        <w:rPr/>
      </w:pPr>
      <w:r>
        <w:rPr/>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b/>
          <w:sz w:val="20"/>
          <w:u w:val="single"/>
        </w:rPr>
      </w:pPr>
      <w:r>
        <w:rPr>
          <w:b/>
          <w:sz w:val="20"/>
          <w:u w:val="single"/>
        </w:rPr>
        <w:t>Trade Terms</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b/>
          <w:sz w:val="20"/>
          <w:u w:val="single"/>
        </w:rPr>
      </w:pPr>
      <w:r>
        <w:rPr>
          <w:b/>
          <w:sz w:val="20"/>
          <w:u w:val="single"/>
        </w:rPr>
      </w:r>
    </w:p>
    <w:p>
      <w:pPr>
        <w:pStyle w:val="axNormal"/>
        <w:shd w:fill="FFFFFF" w:val="clear"/>
        <w:tabs>
          <w:tab w:val="clear" w:pos="1440"/>
          <w:tab w:val="clear" w:pos="2160"/>
          <w:tab w:val="left" w:pos="720" w:leader="none"/>
          <w:tab w:val="left" w:pos="28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sz w:val="20"/>
        </w:rPr>
      </w:pPr>
      <w:r>
        <w:rPr>
          <w:sz w:val="20"/>
        </w:rPr>
        <w:t>Trade Date:</w:t>
        <w:tab/>
        <w:t>[             ]</w:t>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sz w:val="20"/>
        </w:rPr>
      </w:pPr>
      <w:r>
        <w:rPr>
          <w:sz w:val="20"/>
        </w:rPr>
        <w:t>Effective Date:</w:t>
        <w:tab/>
        <w:t>September 1, 2001</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sz w:val="20"/>
        </w:rPr>
      </w:pPr>
      <w:r>
        <w:rPr>
          <w:sz w:val="20"/>
        </w:rPr>
        <w:t xml:space="preserve">Termination Date: </w:t>
        <w:tab/>
        <w:t>November 30, 2001</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sz w:val="20"/>
        </w:rPr>
      </w:pPr>
      <w:r>
        <w:rPr>
          <w:sz w:val="20"/>
        </w:rPr>
        <w:t>Calculation Period(s):</w:t>
        <w:tab/>
        <w:t>Each Calendar Month period during the Term of the Transaction.</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r>
    </w:p>
    <w:p>
      <w:pPr>
        <w:pStyle w:val="axNormal"/>
        <w:shd w:fill="FFFFFF" w:val="clear"/>
        <w:tabs>
          <w:tab w:val="clear" w:pos="1440"/>
          <w:tab w:val="clear" w:pos="2160"/>
          <w:tab w:val="left" w:pos="720" w:leader="none"/>
          <w:tab w:val="left" w:pos="28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ind w:firstLine="17" w:end="0"/>
        <w:rPr>
          <w:sz w:val="20"/>
        </w:rPr>
      </w:pPr>
      <w:r>
        <w:rPr>
          <w:sz w:val="20"/>
        </w:rPr>
        <w:t>Period End Date(s):</w:t>
        <w:tab/>
        <w:t>Final pricing date as defined in the description of Floating Price.</w:t>
      </w:r>
    </w:p>
    <w:p>
      <w:pPr>
        <w:pStyle w:val="axNormal"/>
        <w:shd w:fill="FFFFFF" w:val="clear"/>
        <w:tabs>
          <w:tab w:val="clear" w:pos="1440"/>
          <w:tab w:val="clear" w:pos="2160"/>
          <w:tab w:val="left" w:pos="720" w:leader="none"/>
          <w:tab w:val="left" w:pos="4320" w:leader="none"/>
          <w:tab w:val="left" w:pos="5040" w:leader="none"/>
          <w:tab w:val="left" w:pos="5760" w:leader="none"/>
          <w:tab w:val="left" w:pos="6480" w:leader="none"/>
          <w:tab w:val="left" w:pos="7200" w:leader="none"/>
        </w:tabs>
        <w:ind w:start="2609" w:end="0"/>
        <w:rPr>
          <w:sz w:val="20"/>
        </w:rPr>
      </w:pPr>
      <w:r>
        <w:rPr>
          <w:sz w:val="20"/>
        </w:rPr>
      </w:r>
    </w:p>
    <w:p>
      <w:pPr>
        <w:pStyle w:val="axNormal"/>
        <w:shd w:fill="FFFFFF" w:val="clear"/>
        <w:tabs>
          <w:tab w:val="clear" w:pos="1440"/>
          <w:tab w:val="clear" w:pos="2160"/>
          <w:tab w:val="left" w:pos="720" w:leader="none"/>
          <w:tab w:val="left" w:pos="5040" w:leader="none"/>
          <w:tab w:val="left" w:pos="5760" w:leader="none"/>
          <w:tab w:val="left" w:pos="6480" w:leader="none"/>
          <w:tab w:val="left" w:pos="7200" w:leader="none"/>
        </w:tabs>
        <w:spacing w:lineRule="atLeast" w:line="198"/>
        <w:ind w:hanging="2880" w:start="2880" w:end="0"/>
        <w:rPr>
          <w:sz w:val="20"/>
        </w:rPr>
      </w:pPr>
      <w:r>
        <w:rPr>
          <w:sz w:val="20"/>
        </w:rPr>
        <w:t>Payment Date(s):</w:t>
        <w:tab/>
        <w:t>5 Business Days following each Period End Date, subject to adjustment in accordance with the Modified Following Business  Day Convention.</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s>
        <w:ind w:start="2592" w:end="0"/>
        <w:rPr>
          <w:sz w:val="20"/>
        </w:rPr>
      </w:pPr>
      <w:r>
        <w:rPr>
          <w:sz w:val="20"/>
        </w:rPr>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pPr>
      <w:r>
        <w:rPr/>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pPr>
      <w:r>
        <w:rPr/>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b/>
          <w:sz w:val="20"/>
          <w:u w:val="single"/>
        </w:rPr>
      </w:pPr>
      <w:r>
        <w:rPr>
          <w:b/>
          <w:sz w:val="20"/>
          <w:u w:val="single"/>
        </w:rPr>
        <w:t>Floating Amount A Details</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b/>
          <w:sz w:val="20"/>
          <w:u w:val="single"/>
        </w:rPr>
      </w:pPr>
      <w:r>
        <w:rPr>
          <w:b/>
          <w:sz w:val="20"/>
          <w:u w:val="single"/>
        </w:rPr>
      </w:r>
    </w:p>
    <w:p>
      <w:pPr>
        <w:pStyle w:val="axNormal"/>
        <w:shd w:fill="FFFFFF" w:val="clear"/>
        <w:tabs>
          <w:tab w:val="clear" w:pos="1440"/>
          <w:tab w:val="clear" w:pos="2160"/>
          <w:tab w:val="left" w:pos="720" w:leader="none"/>
          <w:tab w:val="left" w:pos="28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sz w:val="20"/>
        </w:rPr>
      </w:pPr>
      <w:r>
        <w:rPr>
          <w:sz w:val="20"/>
        </w:rPr>
        <w:t>Floating Price A Payor:</w:t>
        <w:tab/>
        <w:t>Counterparty</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609" w:start="2609" w:end="0"/>
        <w:rPr>
          <w:sz w:val="20"/>
        </w:rPr>
      </w:pPr>
      <w:r>
        <w:rPr>
          <w:sz w:val="20"/>
        </w:rPr>
        <w:t xml:space="preserve">Commodity Reference Price: </w:t>
        <w:tab/>
        <w:tab/>
        <w:t>NATURAL GAS - CANADA (NW SUMAS)-GAS DAILY</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s>
        <w:spacing w:lineRule="atLeast" w:line="198"/>
        <w:ind w:hanging="2681" w:start="2681" w:end="0"/>
        <w:rPr>
          <w:sz w:val="20"/>
        </w:rPr>
      </w:pPr>
      <w:r>
        <w:rPr>
          <w:sz w:val="20"/>
        </w:rPr>
        <w:tab/>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880" w:start="2880" w:end="0"/>
        <w:rPr>
          <w:sz w:val="20"/>
        </w:rPr>
      </w:pPr>
      <w:r>
        <w:rPr>
          <w:sz w:val="20"/>
        </w:rPr>
        <w:t>Delivery Date(s):</w:t>
        <w:tab/>
        <w:t xml:space="preserve">From and including Effective Date to and including Termination Date </w:t>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880" w:start="2880" w:end="0"/>
        <w:rPr>
          <w:sz w:val="20"/>
        </w:rPr>
      </w:pPr>
      <w:r>
        <w:rPr>
          <w:sz w:val="20"/>
        </w:rPr>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880" w:start="2880" w:end="0"/>
        <w:rPr>
          <w:sz w:val="20"/>
        </w:rPr>
      </w:pPr>
      <w:r>
        <w:rPr>
          <w:sz w:val="20"/>
        </w:rPr>
        <w:t>Floating Price A:</w:t>
        <w:tab/>
        <w:t>For each Calculation Period, the average of each daily price from the  Gas Daily Publication under the heading "Daily Price Survey" in the section "Canadian Gas - NW Sumas" using the "Midpoint" flow date (s) column that corresponds to the applicable Delivery Date(s) or Period of Delivery.</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firstLine="2609" w:end="0"/>
        <w:rPr>
          <w:sz w:val="20"/>
        </w:rPr>
      </w:pPr>
      <w:r>
        <w:rPr>
          <w:sz w:val="20"/>
        </w:rPr>
      </w:r>
    </w:p>
    <w:p>
      <w:pPr>
        <w:pStyle w:val="axNormal"/>
        <w:shd w:fill="FFFFFF" w:val="clear"/>
        <w:tabs>
          <w:tab w:val="clear" w:pos="1440"/>
          <w:tab w:val="clear" w:pos="2160"/>
          <w:tab w:val="left" w:pos="720" w:leader="none"/>
          <w:tab w:val="left" w:pos="207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sz w:val="20"/>
        </w:rPr>
      </w:pPr>
      <w:r>
        <w:rPr>
          <w:sz w:val="20"/>
        </w:rPr>
        <w:t xml:space="preserve">Method of Averaging: </w:t>
        <w:tab/>
        <w:tab/>
        <w:t>Un-weighted</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s>
        <w:ind w:start="2609" w:end="0"/>
        <w:rPr>
          <w:sz w:val="20"/>
        </w:rPr>
      </w:pPr>
      <w:r>
        <w:rPr>
          <w:sz w:val="20"/>
        </w:rPr>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rPr>
          <w:sz w:val="20"/>
        </w:rPr>
      </w:pPr>
      <w:r>
        <w:rPr>
          <w:sz w:val="20"/>
        </w:rPr>
        <w:t>Rounding:</w:t>
        <w:tab/>
        <w:t>The Floating Price A will be rounded to 4 decimal places.</w:t>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rPr>
          <w:sz w:val="20"/>
        </w:rPr>
      </w:pPr>
      <w:r>
        <w:rPr>
          <w:sz w:val="20"/>
        </w:rPr>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160" w:start="2160" w:end="0"/>
        <w:rPr>
          <w:sz w:val="20"/>
        </w:rPr>
      </w:pPr>
      <w:r>
        <w:rPr>
          <w:sz w:val="20"/>
        </w:rPr>
        <w:t>Floating Amount A:</w:t>
        <w:tab/>
        <w:tab/>
        <w:t xml:space="preserve">For each Calculation Period $[___________] plus the product of the </w:t>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880" w:end="0"/>
        <w:rPr>
          <w:sz w:val="20"/>
        </w:rPr>
      </w:pPr>
      <w:r>
        <w:rPr>
          <w:sz w:val="20"/>
        </w:rPr>
        <w:tab/>
        <w:tab/>
        <w:t>Floating Price A multiplied by the Total Notional Quantity A attributable to the Calculation Period.</w:t>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rPr>
          <w:sz w:val="20"/>
        </w:rPr>
      </w:pPr>
      <w:r>
        <w:rPr>
          <w:sz w:val="20"/>
        </w:rPr>
        <w:tab/>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b/>
          <w:sz w:val="20"/>
          <w:u w:val="single"/>
        </w:rPr>
      </w:pPr>
      <w:r>
        <w:rPr>
          <w:b/>
          <w:sz w:val="20"/>
          <w:u w:val="single"/>
        </w:rPr>
        <w:t>Floating Amount B Details</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b/>
          <w:sz w:val="20"/>
          <w:u w:val="single"/>
        </w:rPr>
      </w:pPr>
      <w:r>
        <w:rPr>
          <w:b/>
          <w:sz w:val="20"/>
          <w:u w:val="single"/>
        </w:rPr>
      </w:r>
    </w:p>
    <w:p>
      <w:pPr>
        <w:pStyle w:val="Normal1"/>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592" w:end="0"/>
        <w:jc w:val="both"/>
        <w:rPr>
          <w:sz w:val="20"/>
        </w:rPr>
      </w:pPr>
      <w:r>
        <w:rPr>
          <w:sz w:val="20"/>
        </w:rPr>
        <w:t>Floating Price B Payor:</w:t>
        <w:tab/>
        <w:tab/>
        <w:t>MEGA</w:t>
      </w:r>
    </w:p>
    <w:p>
      <w:pPr>
        <w:pStyle w:val="Normal1"/>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s>
        <w:ind w:hanging="2592" w:start="2592" w:end="0"/>
        <w:jc w:val="both"/>
        <w:rPr>
          <w:sz w:val="20"/>
        </w:rPr>
      </w:pPr>
      <w:r>
        <w:rPr>
          <w:sz w:val="20"/>
        </w:rPr>
      </w:r>
    </w:p>
    <w:p>
      <w:pPr>
        <w:pStyle w:val="Normal1"/>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sz w:val="20"/>
        </w:rPr>
      </w:pPr>
      <w:r>
        <w:rPr>
          <w:sz w:val="20"/>
        </w:rPr>
        <w:t>Commodity Reference Price:</w:t>
        <w:tab/>
        <w:tab/>
        <w:t>Dow Jones Mid Columbia Firm Peak and Off-Peak Index</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firstLine="17" w:end="0"/>
        <w:rPr>
          <w:sz w:val="20"/>
        </w:rPr>
      </w:pPr>
      <w:r>
        <w:rPr>
          <w:sz w:val="20"/>
        </w:rPr>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880" w:start="2880" w:end="0"/>
        <w:rPr/>
      </w:pPr>
      <w:r>
        <w:rPr>
          <w:sz w:val="20"/>
        </w:rPr>
        <w:t>Delivery Date(s):</w:t>
      </w:r>
      <w:r>
        <w:rPr/>
        <w:tab/>
      </w:r>
      <w:r>
        <w:rPr>
          <w:sz w:val="20"/>
        </w:rPr>
        <w:t>From and including Effective Date to and including Termination Date  (including Sundays and NERC Holidays)</w:t>
      </w:r>
    </w:p>
    <w:p>
      <w:pPr>
        <w:pStyle w:val="Normal1"/>
        <w:shd w:fill="FFFFFF" w:val="clear"/>
        <w:tabs>
          <w:tab w:val="clear" w:pos="720"/>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2880" w:start="3600" w:end="0"/>
        <w:jc w:val="both"/>
        <w:rPr/>
      </w:pPr>
      <w:r>
        <w:rPr/>
      </w:r>
    </w:p>
    <w:p>
      <w:pPr>
        <w:pStyle w:val="Normal1"/>
        <w:shd w:fill="FFFFFF" w:val="clear"/>
        <w:tabs>
          <w:tab w:val="clear" w:pos="720"/>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2880" w:start="3600" w:end="0"/>
        <w:jc w:val="both"/>
        <w:rPr/>
      </w:pPr>
      <w:r>
        <w:rPr/>
      </w:r>
    </w:p>
    <w:p>
      <w:pPr>
        <w:pStyle w:val="Normal1"/>
        <w:shd w:fill="FFFFFF" w:val="clear"/>
        <w:tabs>
          <w:tab w:val="left" w:pos="720" w:leader="none"/>
          <w:tab w:val="left" w:pos="2609" w:leader="none"/>
          <w:tab w:val="left" w:pos="2880" w:leader="none"/>
          <w:tab w:val="left" w:pos="5040" w:leader="none"/>
          <w:tab w:val="left" w:pos="5760" w:leader="none"/>
          <w:tab w:val="left" w:pos="6480" w:leader="none"/>
          <w:tab w:val="left" w:pos="7200" w:leader="none"/>
        </w:tabs>
        <w:spacing w:lineRule="atLeast" w:line="198"/>
        <w:ind w:hanging="2609" w:start="2609" w:end="0"/>
        <w:jc w:val="both"/>
        <w:rPr/>
      </w:pPr>
      <w:r>
        <w:rPr>
          <w:sz w:val="20"/>
        </w:rPr>
        <w:t xml:space="preserve">Floating Price B: </w:t>
        <w:tab/>
        <w:tab/>
      </w:r>
      <w:r>
        <w:rPr>
          <w:b/>
          <w:sz w:val="20"/>
        </w:rPr>
        <w:t>Monday-Saturday (Excluding NERC Holidays)</w:t>
      </w:r>
      <w:r>
        <w:rPr>
          <w:sz w:val="20"/>
        </w:rPr>
        <w:t xml:space="preserve"> </w:t>
      </w:r>
    </w:p>
    <w:p>
      <w:pPr>
        <w:pStyle w:val="Normal1"/>
        <w:shd w:fill="FFFFFF" w:val="clear"/>
        <w:tabs>
          <w:tab w:val="left" w:pos="720" w:leader="none"/>
          <w:tab w:val="left" w:pos="2609" w:leader="none"/>
          <w:tab w:val="left" w:pos="2880" w:leader="none"/>
          <w:tab w:val="left" w:pos="5040" w:leader="none"/>
          <w:tab w:val="left" w:pos="5760" w:leader="none"/>
          <w:tab w:val="left" w:pos="6480" w:leader="none"/>
          <w:tab w:val="left" w:pos="7200" w:leader="none"/>
        </w:tabs>
        <w:spacing w:lineRule="atLeast" w:line="198"/>
        <w:ind w:hanging="2609" w:start="2609" w:end="0"/>
        <w:jc w:val="both"/>
        <w:rPr>
          <w:sz w:val="20"/>
        </w:rPr>
      </w:pPr>
      <w:r>
        <w:rPr>
          <w:sz w:val="20"/>
        </w:rPr>
      </w:r>
    </w:p>
    <w:p>
      <w:pPr>
        <w:pStyle w:val="Normal1"/>
        <w:shd w:fill="FFFFFF" w:val="clear"/>
        <w:tabs>
          <w:tab w:val="left" w:pos="720" w:leader="none"/>
          <w:tab w:val="left" w:pos="2880" w:leader="none"/>
          <w:tab w:val="left" w:pos="4320" w:leader="none"/>
          <w:tab w:val="left" w:pos="5040" w:leader="none"/>
          <w:tab w:val="left" w:pos="5760" w:leader="none"/>
          <w:tab w:val="left" w:pos="6480" w:leader="none"/>
          <w:tab w:val="left" w:pos="7200" w:leader="none"/>
        </w:tabs>
        <w:spacing w:lineRule="atLeast" w:line="198"/>
        <w:ind w:hanging="2609" w:start="2609" w:end="0"/>
        <w:jc w:val="both"/>
        <w:rPr>
          <w:sz w:val="20"/>
        </w:rPr>
      </w:pPr>
      <w:r>
        <w:rPr>
          <w:sz w:val="20"/>
        </w:rPr>
        <w:tab/>
        <w:tab/>
        <w:tab/>
        <w:t>Calculated as the:</w:t>
      </w:r>
    </w:p>
    <w:p>
      <w:pPr>
        <w:pStyle w:val="Normal1"/>
        <w:shd w:fill="FFFFFF" w:val="clear"/>
        <w:tabs>
          <w:tab w:val="left" w:pos="720" w:leader="none"/>
          <w:tab w:val="left" w:pos="2880" w:leader="none"/>
          <w:tab w:val="left" w:pos="5040" w:leader="none"/>
          <w:tab w:val="left" w:pos="5760" w:leader="none"/>
          <w:tab w:val="left" w:pos="6480" w:leader="none"/>
          <w:tab w:val="left" w:pos="7200" w:leader="none"/>
        </w:tabs>
        <w:spacing w:lineRule="atLeast" w:line="198"/>
        <w:ind w:hanging="2880" w:start="2880" w:end="0"/>
        <w:jc w:val="both"/>
        <w:rPr>
          <w:sz w:val="20"/>
        </w:rPr>
      </w:pPr>
      <w:r>
        <w:rPr>
          <w:sz w:val="20"/>
        </w:rPr>
        <w:tab/>
        <w:tab/>
        <w:t xml:space="preserve">A.) Average of the On-Peak Firm Dow Jones Mid-Columbia Daily Index (Monday through Saturday) multiplied by two (2) plus  </w:t>
      </w:r>
    </w:p>
    <w:p>
      <w:pPr>
        <w:pStyle w:val="Normal1"/>
        <w:shd w:fill="FFFFFF" w:val="clear"/>
        <w:tabs>
          <w:tab w:val="left" w:pos="720" w:leader="none"/>
          <w:tab w:val="left" w:pos="2609" w:leader="none"/>
          <w:tab w:val="left" w:pos="2880" w:leader="none"/>
          <w:tab w:val="left" w:pos="5040" w:leader="none"/>
          <w:tab w:val="left" w:pos="5760" w:leader="none"/>
          <w:tab w:val="left" w:pos="6480" w:leader="none"/>
          <w:tab w:val="left" w:pos="7200" w:leader="none"/>
        </w:tabs>
        <w:spacing w:lineRule="atLeast" w:line="198"/>
        <w:ind w:hanging="2609" w:start="2880" w:end="0"/>
        <w:jc w:val="both"/>
        <w:rPr>
          <w:sz w:val="20"/>
        </w:rPr>
      </w:pPr>
      <w:r>
        <w:rPr>
          <w:sz w:val="20"/>
        </w:rPr>
        <w:tab/>
        <w:tab/>
        <w:tab/>
        <w:t>B.) Average of the Off-Peak Firm Dow Jones Mid-Columbia Daily Index (Monday through Saturday)</w:t>
      </w:r>
    </w:p>
    <w:p>
      <w:pPr>
        <w:pStyle w:val="Normal1"/>
        <w:shd w:fill="FFFFFF" w:val="clear"/>
        <w:tabs>
          <w:tab w:val="left" w:pos="720" w:leader="none"/>
          <w:tab w:val="left" w:pos="2609" w:leader="none"/>
          <w:tab w:val="left" w:pos="2880" w:leader="none"/>
          <w:tab w:val="left" w:pos="5040" w:leader="none"/>
          <w:tab w:val="left" w:pos="5760" w:leader="none"/>
          <w:tab w:val="left" w:pos="6480" w:leader="none"/>
          <w:tab w:val="left" w:pos="7200" w:leader="none"/>
        </w:tabs>
        <w:spacing w:lineRule="atLeast" w:line="198"/>
        <w:ind w:hanging="2609" w:start="2609" w:end="0"/>
        <w:jc w:val="both"/>
        <w:rPr>
          <w:sz w:val="20"/>
        </w:rPr>
      </w:pPr>
      <w:r>
        <w:rPr>
          <w:sz w:val="20"/>
        </w:rPr>
        <w:tab/>
        <w:tab/>
        <w:tab/>
        <w:t>C.) Total divided by three (3).</w:t>
      </w:r>
    </w:p>
    <w:p>
      <w:pPr>
        <w:pStyle w:val="Normal1"/>
        <w:shd w:fill="FFFFFF" w:val="clear"/>
        <w:tabs>
          <w:tab w:val="left" w:pos="720" w:leader="none"/>
          <w:tab w:val="left" w:pos="2609" w:leader="none"/>
          <w:tab w:val="left" w:pos="4320" w:leader="none"/>
          <w:tab w:val="left" w:pos="5040" w:leader="none"/>
          <w:tab w:val="left" w:pos="5760" w:leader="none"/>
          <w:tab w:val="left" w:pos="6480" w:leader="none"/>
          <w:tab w:val="left" w:pos="7200" w:leader="none"/>
        </w:tabs>
        <w:spacing w:lineRule="atLeast" w:line="198"/>
        <w:ind w:hanging="2609" w:start="2609" w:end="0"/>
        <w:jc w:val="both"/>
        <w:rPr>
          <w:sz w:val="20"/>
        </w:rPr>
      </w:pPr>
      <w:r>
        <w:rPr>
          <w:sz w:val="20"/>
        </w:rPr>
        <w:tab/>
        <w:tab/>
        <w:tab/>
      </w:r>
    </w:p>
    <w:p>
      <w:pPr>
        <w:pStyle w:val="Normal1"/>
        <w:shd w:fill="FFFFFF" w:val="clear"/>
        <w:tabs>
          <w:tab w:val="left" w:pos="720" w:leader="none"/>
          <w:tab w:val="left" w:pos="2880" w:leader="none"/>
          <w:tab w:val="left" w:pos="4320" w:leader="none"/>
          <w:tab w:val="left" w:pos="5040" w:leader="none"/>
          <w:tab w:val="left" w:pos="5760" w:leader="none"/>
          <w:tab w:val="left" w:pos="6480" w:leader="none"/>
          <w:tab w:val="left" w:pos="7200" w:leader="none"/>
        </w:tabs>
        <w:spacing w:lineRule="atLeast" w:line="198"/>
        <w:ind w:hanging="2609" w:start="2609" w:end="0"/>
        <w:jc w:val="both"/>
        <w:rPr>
          <w:b/>
          <w:sz w:val="20"/>
        </w:rPr>
      </w:pPr>
      <w:r>
        <w:rPr>
          <w:b/>
          <w:sz w:val="20"/>
        </w:rPr>
        <w:tab/>
        <w:tab/>
        <w:tab/>
        <w:t>Sundays and NERC Holidays</w:t>
      </w:r>
    </w:p>
    <w:p>
      <w:pPr>
        <w:pStyle w:val="Normal1"/>
        <w:shd w:fill="FFFFFF" w:val="clear"/>
        <w:tabs>
          <w:tab w:val="left" w:pos="720" w:leader="none"/>
          <w:tab w:val="left" w:pos="2880" w:leader="none"/>
          <w:tab w:val="left" w:pos="4320" w:leader="none"/>
          <w:tab w:val="left" w:pos="5040" w:leader="none"/>
          <w:tab w:val="left" w:pos="5760" w:leader="none"/>
          <w:tab w:val="left" w:pos="6480" w:leader="none"/>
          <w:tab w:val="left" w:pos="7200" w:leader="none"/>
        </w:tabs>
        <w:spacing w:lineRule="atLeast" w:line="198"/>
        <w:ind w:hanging="2609" w:start="2609" w:end="0"/>
        <w:jc w:val="both"/>
        <w:rPr/>
      </w:pPr>
      <w:r>
        <w:rPr>
          <w:b/>
          <w:sz w:val="20"/>
        </w:rPr>
        <w:tab/>
      </w:r>
      <w:r>
        <w:rPr>
          <w:sz w:val="20"/>
        </w:rPr>
        <w:tab/>
        <w:tab/>
        <w:t>Calculated as  the:</w:t>
      </w:r>
    </w:p>
    <w:p>
      <w:pPr>
        <w:pStyle w:val="Normal1"/>
        <w:shd w:fill="FFFFFF" w:val="clear"/>
        <w:tabs>
          <w:tab w:val="left" w:pos="720" w:leader="none"/>
          <w:tab w:val="left" w:pos="2880" w:leader="none"/>
          <w:tab w:val="left" w:pos="4320" w:leader="none"/>
          <w:tab w:val="left" w:pos="5040" w:leader="none"/>
          <w:tab w:val="left" w:pos="5760" w:leader="none"/>
          <w:tab w:val="left" w:pos="6480" w:leader="none"/>
          <w:tab w:val="left" w:pos="7200" w:leader="none"/>
        </w:tabs>
        <w:spacing w:lineRule="atLeast" w:line="198"/>
        <w:ind w:hanging="2609" w:start="2609" w:end="0"/>
        <w:jc w:val="both"/>
        <w:rPr/>
      </w:pPr>
      <w:r>
        <w:rPr>
          <w:b/>
          <w:sz w:val="20"/>
        </w:rPr>
        <w:tab/>
        <w:tab/>
        <w:tab/>
      </w:r>
      <w:r>
        <w:rPr>
          <w:sz w:val="20"/>
        </w:rPr>
        <w:t xml:space="preserve">D.) Sunday &amp; NERC holiday Dow Jones Mid-Columbia Daily Index </w:t>
      </w:r>
    </w:p>
    <w:p>
      <w:pPr>
        <w:pStyle w:val="Normal1"/>
        <w:shd w:fill="FFFFFF" w:val="clear"/>
        <w:tabs>
          <w:tab w:val="left" w:pos="720" w:leader="none"/>
          <w:tab w:val="left" w:pos="2880" w:leader="none"/>
          <w:tab w:val="left" w:pos="4320" w:leader="none"/>
          <w:tab w:val="left" w:pos="5040" w:leader="none"/>
          <w:tab w:val="left" w:pos="5760" w:leader="none"/>
          <w:tab w:val="left" w:pos="6480" w:leader="none"/>
          <w:tab w:val="left" w:pos="7200" w:leader="none"/>
        </w:tabs>
        <w:spacing w:lineRule="atLeast" w:line="198"/>
        <w:ind w:hanging="2609" w:start="2880" w:end="0"/>
        <w:jc w:val="both"/>
        <w:rPr>
          <w:rFonts w:eastAsia="TIMES"/>
          <w:sz w:val="20"/>
        </w:rPr>
      </w:pPr>
      <w:r>
        <w:rPr>
          <w:rFonts w:eastAsia="TIMES"/>
          <w:sz w:val="20"/>
        </w:rPr>
        <w:t xml:space="preserve"> </w:t>
      </w:r>
    </w:p>
    <w:p>
      <w:pPr>
        <w:pStyle w:val="Normal1"/>
        <w:shd w:fill="FFFFFF" w:val="clear"/>
        <w:tabs>
          <w:tab w:val="left" w:pos="720" w:leader="none"/>
          <w:tab w:val="left" w:pos="2880" w:leader="none"/>
          <w:tab w:val="left" w:pos="4320" w:leader="none"/>
          <w:tab w:val="left" w:pos="5040" w:leader="none"/>
          <w:tab w:val="left" w:pos="5760" w:leader="none"/>
          <w:tab w:val="left" w:pos="6480" w:leader="none"/>
          <w:tab w:val="left" w:pos="7200" w:leader="none"/>
        </w:tabs>
        <w:spacing w:lineRule="atLeast" w:line="198"/>
        <w:ind w:hanging="2609" w:start="2880" w:end="0"/>
        <w:jc w:val="both"/>
        <w:rPr>
          <w:sz w:val="20"/>
        </w:rPr>
      </w:pPr>
      <w:r>
        <w:rPr>
          <w:sz w:val="20"/>
        </w:rPr>
        <w:tab/>
        <w:tab/>
        <w:t>Index Price to be based on the "Dow Jones Telerate" under the heading "Dow Jones Energy Service", "Dow Jones Mid Columbia Electricity Price Indexes", "MID-C", "Index quoted in $/Megawatthour" daily "Firm Peak" column, "Firm Off-Peak" column and "Sunday &amp; NERC Holiday" column dated as of date of delivery, published on the first business day following delivery.</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r>
    </w:p>
    <w:p>
      <w:pPr>
        <w:pStyle w:val="axNormal"/>
        <w:shd w:fill="FFFFFF" w:val="clear"/>
        <w:tabs>
          <w:tab w:val="clear" w:pos="1440"/>
          <w:tab w:val="clear" w:pos="2160"/>
          <w:tab w:val="left" w:pos="720" w:leader="none"/>
          <w:tab w:val="left" w:pos="28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sz w:val="20"/>
        </w:rPr>
      </w:pPr>
      <w:r>
        <w:rPr>
          <w:sz w:val="20"/>
        </w:rPr>
        <w:t xml:space="preserve">Method of Averaging: </w:t>
        <w:tab/>
        <w:t>Un-weighted</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s>
        <w:ind w:start="2609" w:end="0"/>
        <w:rPr>
          <w:sz w:val="20"/>
        </w:rPr>
      </w:pPr>
      <w:r>
        <w:rPr>
          <w:sz w:val="20"/>
        </w:rPr>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592" w:end="0"/>
        <w:rPr>
          <w:sz w:val="20"/>
        </w:rPr>
      </w:pPr>
      <w:r>
        <w:rPr>
          <w:sz w:val="20"/>
        </w:rPr>
        <w:t>Rounding:</w:t>
        <w:tab/>
        <w:tab/>
        <w:t>The Floating Price B will be rounded to 4 decimal places.</w:t>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592" w:end="0"/>
        <w:rPr>
          <w:sz w:val="20"/>
        </w:rPr>
      </w:pPr>
      <w:r>
        <w:rPr>
          <w:sz w:val="20"/>
        </w:rPr>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880" w:start="2880" w:end="0"/>
        <w:rPr>
          <w:sz w:val="20"/>
        </w:rPr>
      </w:pPr>
      <w:r>
        <w:rPr>
          <w:sz w:val="20"/>
        </w:rPr>
        <w:t>Floating Amount B:</w:t>
        <w:tab/>
        <w:t>For each Calculation Period, the product of the Floating Price B multiplied by the Total Notional Quantity B attributable to the Calculation Period.</w:t>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880" w:start="2880" w:end="0"/>
        <w:rPr>
          <w:sz w:val="20"/>
        </w:rPr>
      </w:pPr>
      <w:r>
        <w:rPr>
          <w:sz w:val="20"/>
        </w:rPr>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880" w:start="2880" w:end="0"/>
        <w:rPr>
          <w:b/>
          <w:sz w:val="20"/>
          <w:u w:val="single"/>
        </w:rPr>
      </w:pPr>
      <w:r>
        <w:rPr>
          <w:b/>
          <w:sz w:val="20"/>
          <w:u w:val="single"/>
        </w:rPr>
        <w:t>Other Details</w:t>
      </w:r>
    </w:p>
    <w:p>
      <w:pPr>
        <w:pStyle w:val="axNormal"/>
        <w:shd w:fill="FFFFFF" w:val="clear"/>
        <w:tabs>
          <w:tab w:val="clear" w:pos="1440"/>
          <w:tab w:val="clear" w:pos="2160"/>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880" w:end="0"/>
        <w:rPr>
          <w:b/>
          <w:sz w:val="20"/>
          <w:u w:val="single"/>
        </w:rPr>
      </w:pPr>
      <w:r>
        <w:rPr>
          <w:b/>
          <w:sz w:val="20"/>
          <w:u w:val="single"/>
        </w:rPr>
      </w:r>
    </w:p>
    <w:p>
      <w:pPr>
        <w:pStyle w:val="axNormal"/>
        <w:shd w:fill="FFFFFF" w:val="clear"/>
        <w:tabs>
          <w:tab w:val="clear" w:pos="1440"/>
          <w:tab w:val="clear" w:pos="2160"/>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s>
        <w:spacing w:lineRule="atLeast" w:line="198"/>
        <w:ind w:hanging="2880" w:start="2880" w:end="0"/>
        <w:rPr>
          <w:sz w:val="20"/>
        </w:rPr>
      </w:pPr>
      <w:r>
        <w:rPr>
          <w:sz w:val="20"/>
        </w:rPr>
        <w:t>Settlement and Payment:</w:t>
        <w:tab/>
        <w:t>Promptly after the last Business Day of each Calculation Period, MEGA shall calculate the Floating Amount A and the Floating Amount B, and shall notify COUNTERPARTY of such amounts.  If MEGA fails to promptly so notify COUNTERPARTY, it shall determine such amounts and shall make payment or give notice to MEGA accordingly.</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s>
        <w:ind w:hanging="2592" w:start="2592" w:end="0"/>
        <w:rPr>
          <w:sz w:val="20"/>
        </w:rPr>
      </w:pPr>
      <w:r>
        <w:rPr>
          <w:sz w:val="20"/>
        </w:rPr>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880" w:end="0"/>
        <w:rPr>
          <w:sz w:val="20"/>
        </w:rPr>
      </w:pPr>
      <w:r>
        <w:rPr>
          <w:sz w:val="20"/>
        </w:rPr>
        <w:tab/>
        <w:tab/>
        <w:t>If the Floating Amount A exceeds the Floating Amount B for such Calculation Period, the Floating Price A Payor shall pay the Floating Price B Payor an amount equal to such excess.  If the Floating Amount B exceeds the Floating Amount A for such Calculation Period, the  Floating Price B Payor shall pay the  Floating Price A Payor an amount equal to such excess.</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s>
        <w:ind w:hanging="2592" w:start="2592" w:end="0"/>
        <w:rPr>
          <w:sz w:val="20"/>
        </w:rPr>
      </w:pPr>
      <w:r>
        <w:rPr>
          <w:sz w:val="20"/>
        </w:rPr>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s>
        <w:spacing w:lineRule="atLeast" w:line="198"/>
        <w:ind w:hanging="2880" w:start="2880" w:end="0"/>
        <w:rPr>
          <w:sz w:val="20"/>
        </w:rPr>
      </w:pPr>
      <w:r>
        <w:rPr>
          <w:sz w:val="20"/>
        </w:rPr>
        <w:tab/>
        <w:tab/>
        <w:t>Payment shall be made on the relevant Payment Date to such account as set forth in the Master Agreement or as otherwise designated in writing by the recipient of such payment prior to such Payment Date.</w:t>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firstLine="2609" w:end="0"/>
        <w:rPr>
          <w:sz w:val="20"/>
        </w:rPr>
      </w:pPr>
      <w:r>
        <w:rPr>
          <w:sz w:val="20"/>
        </w:rPr>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880" w:start="2880" w:end="0"/>
        <w:rPr>
          <w:sz w:val="20"/>
        </w:rPr>
      </w:pPr>
      <w:r>
        <w:rPr>
          <w:sz w:val="20"/>
        </w:rPr>
        <w:t>Market Disruption Events:</w:t>
        <w:tab/>
        <w:t>Price Source Disruption; Trading Suspension; Disappearance of Commodity Reference Price; Material Change in Formula; Material Change in Content; Tax Disruption and Trading Limitation.</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firstLine="17" w:end="0"/>
        <w:rPr>
          <w:sz w:val="20"/>
        </w:rPr>
      </w:pPr>
      <w:r>
        <w:rPr>
          <w:sz w:val="20"/>
        </w:rPr>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880" w:start="2880" w:end="0"/>
        <w:rPr>
          <w:sz w:val="20"/>
        </w:rPr>
      </w:pPr>
      <w:r>
        <w:rPr>
          <w:sz w:val="20"/>
        </w:rPr>
        <w:t xml:space="preserve">Disruption Fallbacks: </w:t>
        <w:tab/>
        <w:t>Fallback Reference Price; with the next applicable Disruption Fallback to be Negotiated Fallback; with the next applicable Disruption Fallback to be Dealer Fallback; and with the next applicable Disruption Fallback to beNo Fault Termination.</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s>
        <w:ind w:hanging="2592" w:start="2592" w:end="0"/>
        <w:rPr>
          <w:sz w:val="20"/>
        </w:rPr>
      </w:pPr>
      <w:r>
        <w:rPr>
          <w:sz w:val="20"/>
        </w:rPr>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592" w:end="0"/>
        <w:rPr>
          <w:sz w:val="20"/>
        </w:rPr>
      </w:pPr>
      <w:r>
        <w:rPr>
          <w:sz w:val="20"/>
        </w:rPr>
        <w:t xml:space="preserve">"Dealer Fallback" means that, promptly upon becoming aware of the Market Disruption Event or </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592" w:end="0"/>
        <w:rPr>
          <w:sz w:val="20"/>
        </w:rPr>
      </w:pPr>
      <w:r>
        <w:rPr>
          <w:sz w:val="20"/>
        </w:rPr>
        <w:t xml:space="preserve">Additional Market Disruption Event, the parties shall expeditiously and jointly agree upon three </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ind w:firstLine="17" w:end="0"/>
        <w:rPr>
          <w:sz w:val="20"/>
        </w:rPr>
      </w:pPr>
      <w:r>
        <w:rPr>
          <w:sz w:val="20"/>
        </w:rPr>
        <w:t>independent leading dealers in the relevant underlying commodity market selected in good faith(A) from among dealers of the highest credit standing which satisfy all the criteria that the parties apply generally at the time of in deciding whether to offer or to make an extension of credit or to enter into a transaction comparable to the Transaction that is affected by the Market Disruption Event or Additional Market Disruption Event, and (B) to the extent practicable, from among dealers having an office in the same city.  Such Dealers shall be appointed to make a determination of the Relevant Price taking into consideration the latest available quotation for the relevant Commodity Reference and any other information that in good faith it deems relevant.  The Relevant Price shall be the arithmetic mean of the three amounts determined to be the relevant price by such dealer, in which case such calculation shall be binding and conclusive absent manifest error.  If the parties have not agreed upon the appointment of the dealers on or before the sixth Business Day following the first Pricing Date on which the Market Disruption Event or Additional Market Disruption Event occurred or existed, or if a determination of the Relevant Price cannot be obtained from at least three dealers, the next applicable Disruption Fallback shall apply to the Transaction.</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s>
        <w:ind w:hanging="2592" w:start="2592" w:end="0"/>
        <w:rPr>
          <w:sz w:val="20"/>
        </w:rPr>
      </w:pPr>
      <w:r>
        <w:rPr>
          <w:sz w:val="20"/>
        </w:rPr>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592" w:end="0"/>
        <w:rPr>
          <w:rFonts w:eastAsia="TIMES"/>
          <w:sz w:val="20"/>
        </w:rPr>
      </w:pPr>
      <w:r>
        <w:rPr>
          <w:rFonts w:eastAsia="TIMES"/>
          <w:sz w:val="20"/>
        </w:rPr>
        <w:t xml:space="preserve"> </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sz w:val="20"/>
        </w:rPr>
      </w:pPr>
      <w:r>
        <w:rPr>
          <w:sz w:val="20"/>
        </w:rPr>
        <w:t>Calculation Agent:      MEGA</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sz w:val="20"/>
        </w:rPr>
      </w:pPr>
      <w:r>
        <w:rPr>
          <w:sz w:val="20"/>
        </w:rPr>
        <w:t>Business Day:             New York</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firstLine="2609" w:end="0"/>
        <w:rPr>
          <w:sz w:val="20"/>
        </w:rPr>
      </w:pPr>
      <w:r>
        <w:rPr>
          <w:sz w:val="20"/>
        </w:rPr>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sz w:val="20"/>
        </w:rPr>
      </w:pPr>
      <w:r>
        <w:rPr>
          <w:sz w:val="20"/>
        </w:rPr>
        <w:t>Please confirm that the foregoing correctly sets forth the terms and conditions of our agreement by returning via facsimile an executed copy of this Confirmation, or by sending a letter or telex substantially similar to this letter, which letter or telex sets forth the material terms of the transaction to which this confirmation relates and indicates agreement to those terms, in either case within three (3) Business Days of your receipt of this Confirmation, to the above Operations Contact.</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sz w:val="20"/>
        </w:rPr>
      </w:pPr>
      <w:r>
        <w:rPr>
          <w:sz w:val="20"/>
        </w:rPr>
        <w:t>Failure to respond within such period will not affect the validity or enforceability of this Transaction, and shall be deemed to be an affirmation of the terms and conditions contained herein, absent manifest error.</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sz w:val="20"/>
        </w:rPr>
      </w:pPr>
      <w:r>
        <w:rPr>
          <w:sz w:val="20"/>
        </w:rPr>
        <w:t>Regards,</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sz w:val="20"/>
        </w:rPr>
      </w:pPr>
      <w:r>
        <w:rPr>
          <w:sz w:val="20"/>
        </w:rPr>
        <w:t>Merchant Energy Group of the Americas, Inc.</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sz w:val="20"/>
        </w:rPr>
      </w:pPr>
      <w:r>
        <w:rPr>
          <w:sz w:val="20"/>
        </w:rPr>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b/>
          <w:sz w:val="20"/>
        </w:rPr>
      </w:pPr>
      <w:r>
        <w:rPr>
          <w:b/>
          <w:sz w:val="20"/>
        </w:rPr>
        <w:t>ACKNOWLEDGED AND AGREED:</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b/>
          <w:sz w:val="20"/>
        </w:rPr>
      </w:pPr>
      <w:r>
        <w:rPr>
          <w:b/>
          <w:sz w:val="20"/>
        </w:rPr>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sz w:val="20"/>
          <w:u w:val="single"/>
        </w:rPr>
      </w:pPr>
      <w:r>
        <w:rPr>
          <w:sz w:val="20"/>
          <w:u w:val="single"/>
        </w:rPr>
        <w:t>_________________________________</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b/>
          <w:sz w:val="20"/>
        </w:rPr>
      </w:pPr>
      <w:r>
        <w:rPr>
          <w:b/>
          <w:sz w:val="20"/>
        </w:rPr>
        <w:t>Company X</w:t>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b/>
          <w:sz w:val="20"/>
        </w:rPr>
      </w:pPr>
      <w:r>
        <w:rPr>
          <w:b/>
          <w:sz w:val="20"/>
        </w:rPr>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pPr>
      <w:r>
        <w:rPr>
          <w:sz w:val="20"/>
        </w:rPr>
        <w:t>By</w:t>
      </w:r>
      <w:r>
        <w:rPr>
          <w:sz w:val="20"/>
          <w:u w:val="single"/>
        </w:rPr>
        <w:t xml:space="preserve">:  </w:t>
        <w:tab/>
        <w:tab/>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u w:val="single"/>
        </w:rPr>
      </w:pPr>
      <w:r>
        <w:rPr>
          <w:sz w:val="20"/>
          <w:u w:val="single"/>
        </w:rPr>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pPr>
      <w:r>
        <w:rPr/>
        <w:t>Title</w:t>
      </w:r>
      <w:r>
        <w:rPr>
          <w:u w:val="single"/>
        </w:rPr>
        <w:t xml:space="preserve">: </w:t>
      </w:r>
      <w:r>
        <w:rPr>
          <w:sz w:val="20"/>
          <w:u w:val="single"/>
        </w:rPr>
        <w:tab/>
        <w:tab/>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sz w:val="20"/>
          <w:u w:val="single"/>
        </w:rPr>
      </w:pPr>
      <w:r>
        <w:rPr>
          <w:sz w:val="20"/>
          <w:u w:val="single"/>
        </w:rPr>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sz w:val="20"/>
          <w:u w:val="single"/>
        </w:rPr>
      </w:pPr>
      <w:r>
        <w:rPr>
          <w:sz w:val="20"/>
          <w:u w:val="single"/>
        </w:rPr>
      </w:r>
    </w:p>
    <w:p>
      <w:pPr>
        <w:pStyle w:val="axNormal"/>
        <w:shd w:fill="FFFFFF" w:val="clear"/>
        <w:tabs>
          <w:tab w:val="clear" w:pos="1440"/>
          <w:tab w:val="clear" w:pos="2160"/>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rPr>
          <w:sz w:val="20"/>
          <w:u w:val="single"/>
        </w:rPr>
      </w:pPr>
      <w:r>
        <w:rPr>
          <w:sz w:val="20"/>
          <w:u w:val="single"/>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wppara"/>
      <w:shd w:fill="FFFFFF"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1">
    <w:name w:val="Normal_"/>
    <w:basedOn w:val="Normal"/>
    <w:qFormat/>
    <w:pPr>
      <w:spacing w:lineRule="atLeast" w:line="218"/>
    </w:pPr>
    <w:rPr>
      <w:rFonts w:ascii="TIMES" w:hAnsi="TIMES" w:cs="TIMES"/>
      <w:color w:val="000000"/>
      <w:sz w:val="22"/>
    </w:rPr>
  </w:style>
  <w:style w:type="paragraph" w:styleId="axNormal">
    <w:name w:val="axNormal"/>
    <w:basedOn w:val="Normal"/>
    <w:qFormat/>
    <w:pPr>
      <w:tabs>
        <w:tab w:val="left" w:pos="720" w:leader="none"/>
        <w:tab w:val="left" w:pos="1440" w:leader="none"/>
        <w:tab w:val="left" w:pos="2160" w:leader="none"/>
      </w:tabs>
      <w:spacing w:lineRule="atLeast" w:line="239"/>
    </w:pPr>
    <w:rPr>
      <w:rFonts w:ascii="TIMES" w:hAnsi="TIMES" w:cs="TIMES"/>
      <w:color w:val="000000"/>
    </w:rPr>
  </w:style>
  <w:style w:type="paragraph" w:styleId="wppara">
    <w:name w:val="wppara"/>
    <w:basedOn w:val="Normal"/>
    <w:qFormat/>
    <w:pPr>
      <w:tabs>
        <w:tab w:val="left" w:pos="720" w:leader="none"/>
        <w:tab w:val="left" w:pos="1440" w:leader="none"/>
        <w:tab w:val="left" w:pos="2160" w:leader="none"/>
      </w:tabs>
      <w:spacing w:lineRule="atLeast" w:line="286"/>
      <w:jc w:val="both"/>
    </w:pPr>
    <w:rPr>
      <w:rFonts w:ascii="TIMES" w:hAnsi="TIMES" w:cs="TIMES"/>
      <w:color w:val="00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2001-04-23T18:30:00Z</dcterms:created>
  <dc:creator>BrockT</dc:creator>
  <dc:description/>
  <dc:language>en-CA</dc:language>
  <cp:lastModifiedBy>BrockT</cp:lastModifiedBy>
  <dcterms:modified xsi:type="dcterms:W3CDTF">2001-04-23T18:58:00Z</dcterms:modified>
  <cp:revision>3</cp:revision>
  <dc:subject/>
  <dc:title>DATE:   </dc:title>
</cp:coreProperties>
</file>