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080" w:leader="none"/>
        </w:tabs>
        <w:spacing w:before="480" w:after="0"/>
        <w:ind w:hanging="0" w:end="0"/>
        <w:jc w:val="center"/>
        <w:rPr/>
      </w:pPr>
      <w:r>
        <w:rPr/>
        <w:t xml:space="preserve">June __, </w:t>
      </w:r>
      <w:commentRangeStart w:id="0"/>
      <w:commentRangeStart w:id="1"/>
      <w:r>
        <w:rPr/>
        <w:t>2000</w:t>
      </w:r>
      <w:r>
        <w:rPr>
          <w:rStyle w:val="CommentReference"/>
          <w:vanish w:val="false"/>
        </w:rPr>
      </w:r>
      <w:commentRangeEnd w:id="1"/>
      <w:r>
        <w:commentReference w:id="1"/>
      </w:r>
      <w:commentRangeEnd w:id="0"/>
      <w:r>
        <w:commentReference w:id="0"/>
      </w:r>
      <w:r>
        <w:rPr>
          <w:rStyle w:val="CommentReference"/>
          <w:vanish w:val="false"/>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t>Enron Corp.</w:t>
        <w:br/>
        <w:t>1400 Smith Street</w:t>
        <w:br/>
        <w:t>Houston, Texas 77002-7369</w:t>
      </w:r>
    </w:p>
    <w:p>
      <w:pPr>
        <w:pStyle w:val="Normal12Before"/>
        <w:tabs>
          <w:tab w:val="clear" w:pos="720"/>
          <w:tab w:val="left" w:pos="1080" w:leader="none"/>
        </w:tabs>
        <w:rPr/>
      </w:pPr>
      <w:r>
        <w:rPr/>
        <w:t>Attention:  ___________</w:t>
        <w:tab/>
      </w:r>
    </w:p>
    <w:p>
      <w:pPr>
        <w:pStyle w:val="Normal12Before"/>
        <w:tabs>
          <w:tab w:val="clear" w:pos="720"/>
          <w:tab w:val="left" w:pos="1080" w:leader="none"/>
        </w:tabs>
        <w:ind w:hanging="3600" w:start="3600" w:end="0"/>
        <w:rPr/>
      </w:pPr>
      <w:r>
        <w:rPr/>
        <w:t>Facsimile:  ___________</w:t>
        <w:tab/>
        <w:t xml:space="preserve">Our Reference: Enron PATS 2000-1 Contingent Swap </w:t>
      </w:r>
    </w:p>
    <w:p>
      <w:pPr>
        <w:pStyle w:val="Normal12Before"/>
        <w:tabs>
          <w:tab w:val="clear" w:pos="720"/>
          <w:tab w:val="left" w:pos="1080" w:leader="none"/>
        </w:tabs>
        <w:spacing w:before="480" w:after="480"/>
        <w:ind w:hanging="2160" w:start="2160" w:end="0"/>
        <w:rPr>
          <w:b/>
        </w:rPr>
      </w:pPr>
      <w:r>
        <w:rPr>
          <w:b/>
        </w:rPr>
        <w:t>TRANSACTION (Swap 3 - Sterling to U.S. Dollar Swap between UBS and Enron)</w:t>
      </w:r>
    </w:p>
    <w:p>
      <w:pPr>
        <w:pStyle w:val="BodyText"/>
        <w:tabs>
          <w:tab w:val="clear" w:pos="720"/>
          <w:tab w:val="left" w:pos="1080" w:leader="none"/>
        </w:tabs>
        <w:spacing w:before="0" w:after="0"/>
        <w:ind w:firstLine="720" w:end="0"/>
        <w:jc w:val="both"/>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tabs>
          <w:tab w:val="clear" w:pos="720"/>
          <w:tab w:val="left" w:pos="1080" w:leader="none"/>
        </w:tabs>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tabs>
          <w:tab w:val="clear" w:pos="720"/>
          <w:tab w:val="left" w:pos="1080" w:leader="none"/>
        </w:tabs>
        <w:ind w:firstLine="720" w:end="0"/>
        <w:jc w:val="both"/>
        <w:rPr/>
      </w:pPr>
      <w:r>
        <w:rPr/>
        <w:t>This Confirmation constitutes a “Confirmation” as referred to in, and supplements, forms a part of and is subject to, the ISDA Master Agreement dated as of _____, as amended and supplemented from time to time (the “Master Agreement”), between Counterparty and UBS. All provisions contained in the Master Agreement govern this Confirmation except as expressly modified below.</w:t>
      </w:r>
    </w:p>
    <w:p>
      <w:pPr>
        <w:pStyle w:val="BodyText"/>
        <w:tabs>
          <w:tab w:val="clear" w:pos="720"/>
          <w:tab w:val="left" w:pos="1080" w:leader="none"/>
        </w:tabs>
        <w:ind w:firstLine="720" w:end="0"/>
        <w:jc w:val="both"/>
        <w:rPr/>
      </w:pPr>
      <w:r>
        <w:rPr/>
        <w:t>The terms of the Transaction to which this Confirmation relates are as follows:</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General Terms</w:t>
      </w:r>
    </w:p>
    <w:p>
      <w:pPr>
        <w:pStyle w:val="BodyTextFirstIndent"/>
        <w:tabs>
          <w:tab w:val="clear" w:pos="3960"/>
          <w:tab w:val="left" w:pos="1080" w:leader="none"/>
        </w:tabs>
        <w:ind w:hanging="2880" w:start="3600" w:end="0"/>
        <w:jc w:val="both"/>
        <w:rPr/>
      </w:pPr>
      <w:r>
        <w:rPr/>
        <w:t>Trade Date:</w:t>
        <w:tab/>
        <w:t>June __, 2000</w:t>
      </w:r>
    </w:p>
    <w:p>
      <w:pPr>
        <w:pStyle w:val="BodyTextFirstIndent"/>
        <w:tabs>
          <w:tab w:val="clear" w:pos="3960"/>
          <w:tab w:val="left" w:pos="1080" w:leader="none"/>
        </w:tabs>
        <w:ind w:hanging="2880" w:start="3600" w:end="0"/>
        <w:jc w:val="both"/>
        <w:rPr/>
      </w:pPr>
      <w:r>
        <w:rPr/>
        <w:t>Effective Date:</w:t>
        <w:tab/>
        <w:t>The date of issuance of the Bonds</w:t>
      </w:r>
    </w:p>
    <w:p>
      <w:pPr>
        <w:pStyle w:val="BodyTextFirstIndent"/>
        <w:tabs>
          <w:tab w:val="clear" w:pos="3960"/>
          <w:tab w:val="left" w:pos="1080" w:leader="none"/>
        </w:tabs>
        <w:ind w:hanging="2880" w:start="3600" w:end="0"/>
        <w:jc w:val="both"/>
        <w:rPr/>
      </w:pPr>
      <w:r>
        <w:rPr/>
        <w:t>Termination Date:</w:t>
        <w:tab/>
        <w:t>June 15, 2003, subject to adjustment in accordance with the Following Business Day Convention</w:t>
      </w:r>
    </w:p>
    <w:p>
      <w:pPr>
        <w:pStyle w:val="BodyTextFirstIndent"/>
        <w:tabs>
          <w:tab w:val="clear" w:pos="3960"/>
          <w:tab w:val="left" w:pos="1080" w:leader="none"/>
        </w:tabs>
        <w:ind w:hanging="2880" w:start="3600" w:end="0"/>
        <w:jc w:val="both"/>
        <w:rPr/>
      </w:pPr>
      <w:r>
        <w:rPr/>
        <w:t>Business Day:</w:t>
        <w:tab/>
        <w:t>New York and London</w:t>
      </w:r>
    </w:p>
    <w:p>
      <w:pPr>
        <w:pStyle w:val="BodyTextFirstIndent"/>
        <w:tabs>
          <w:tab w:val="clear" w:pos="3960"/>
          <w:tab w:val="left" w:pos="1080" w:leader="none"/>
        </w:tabs>
        <w:ind w:hanging="2880" w:start="3600" w:end="0"/>
        <w:jc w:val="both"/>
        <w:rPr/>
      </w:pPr>
      <w:r>
        <w:rPr/>
        <w:t>Indenture:</w:t>
        <w:tab/>
        <w:t>Indenture dated as of November 1, 1985, as supplemented from time to time, between Counterparty (formerly InterNorth, Inc.) and The Bank of New York (as successor to Harris Trust and Savings Bank), as Trustee</w:t>
      </w:r>
    </w:p>
    <w:p>
      <w:pPr>
        <w:pStyle w:val="BodyTextFirstIndent"/>
        <w:tabs>
          <w:tab w:val="clear" w:pos="3960"/>
          <w:tab w:val="left" w:pos="1080" w:leader="none"/>
        </w:tabs>
        <w:ind w:hanging="2880" w:start="3600" w:end="0"/>
        <w:jc w:val="both"/>
        <w:rPr/>
      </w:pPr>
      <w:r>
        <w:rPr/>
        <w:t>Bonds:</w:t>
        <w:tab/>
        <w:t>£___________ aggregate principal amount of Counter-party’s Reset Senior Notes Due June 15, 2028 issued under the Indenture</w:t>
      </w:r>
    </w:p>
    <w:p>
      <w:pPr>
        <w:pStyle w:val="BodyTextFirstIndent"/>
        <w:tabs>
          <w:tab w:val="clear" w:pos="3960"/>
          <w:tab w:val="left" w:pos="1080" w:leader="none"/>
        </w:tabs>
        <w:ind w:hanging="2880" w:start="3600" w:end="0"/>
        <w:jc w:val="both"/>
        <w:rPr/>
      </w:pPr>
      <w:r>
        <w:rPr/>
        <w:t>Calculation Agent:</w:t>
        <w:tab/>
        <w:t>UBS, whose determinations and calculations shall be binding in the absence of manifest error</w:t>
      </w:r>
    </w:p>
    <w:p>
      <w:pPr>
        <w:pStyle w:val="Normal12Before"/>
        <w:tabs>
          <w:tab w:val="clear" w:pos="720"/>
          <w:tab w:val="left" w:pos="1080" w:leader="none"/>
        </w:tabs>
        <w:jc w:val="both"/>
        <w:rPr/>
      </w:pPr>
      <w:r>
        <w:rPr/>
        <w:t>FIXED STERLING AMOUNTS</w:t>
      </w:r>
    </w:p>
    <w:p>
      <w:pPr>
        <w:pStyle w:val="BodyTextFirstIndent"/>
        <w:tabs>
          <w:tab w:val="clear" w:pos="3960"/>
          <w:tab w:val="left" w:pos="1080" w:leader="none"/>
        </w:tabs>
        <w:ind w:hanging="2880" w:start="3600" w:end="0"/>
        <w:jc w:val="both"/>
        <w:rPr/>
      </w:pPr>
      <w:r>
        <w:rPr/>
        <w:t>Sterling Payer:</w:t>
        <w:tab/>
        <w:t>UBS</w:t>
      </w:r>
    </w:p>
    <w:p>
      <w:pPr>
        <w:pStyle w:val="BodyTextFirstIndent"/>
        <w:keepNext w:val="true"/>
        <w:keepLines/>
        <w:tabs>
          <w:tab w:val="clear" w:pos="3960"/>
          <w:tab w:val="left" w:pos="1080" w:leader="none"/>
        </w:tabs>
        <w:ind w:hanging="2880" w:start="3600" w:end="0"/>
        <w:jc w:val="both"/>
        <w:rPr/>
      </w:pPr>
      <w:r>
        <w:rPr/>
        <w:t>Sterling Payer Notional</w:t>
      </w:r>
    </w:p>
    <w:p>
      <w:pPr>
        <w:pStyle w:val="BodyTextFirstIndent"/>
        <w:keepNext w:val="true"/>
        <w:keepLines/>
        <w:tabs>
          <w:tab w:val="clear" w:pos="3960"/>
          <w:tab w:val="left" w:pos="1080" w:leader="none"/>
        </w:tabs>
        <w:spacing w:before="0" w:after="0"/>
        <w:ind w:hanging="2880" w:start="3600" w:end="0"/>
        <w:jc w:val="both"/>
        <w:rPr/>
      </w:pPr>
      <w:r>
        <w:rPr/>
        <w:t>Amount:</w:t>
        <w:tab/>
        <w:t>£_______</w:t>
      </w:r>
    </w:p>
    <w:p>
      <w:pPr>
        <w:pStyle w:val="BodyTextFirstIndent"/>
        <w:keepNext w:val="true"/>
        <w:tabs>
          <w:tab w:val="clear" w:pos="3960"/>
          <w:tab w:val="left" w:pos="1080" w:leader="none"/>
        </w:tabs>
        <w:ind w:hanging="2880" w:start="3600" w:end="0"/>
        <w:jc w:val="both"/>
        <w:rPr/>
      </w:pPr>
      <w:r>
        <w:rPr/>
        <w:t>Sterling Payer Payment</w:t>
      </w:r>
    </w:p>
    <w:p>
      <w:pPr>
        <w:pStyle w:val="BodyTextFirstIndent"/>
        <w:keepNext w:val="true"/>
        <w:tabs>
          <w:tab w:val="clear" w:pos="3960"/>
          <w:tab w:val="left" w:pos="1080" w:leader="none"/>
        </w:tabs>
        <w:spacing w:before="0" w:after="0"/>
        <w:ind w:hanging="2880" w:start="3600" w:end="0"/>
        <w:jc w:val="both"/>
        <w:rPr/>
      </w:pPr>
      <w:r>
        <w:rPr/>
        <w:t>Dates:</w:t>
        <w:tab/>
        <w:t>The 15</w:t>
      </w:r>
      <w:r>
        <w:rPr>
          <w:vertAlign w:val="superscript"/>
        </w:rPr>
        <w:t>th</w:t>
      </w:r>
      <w:r>
        <w:rPr/>
        <w:t xml:space="preserve"> day of each June and December during the Term of the Transaction, commencing on December 15, 2000, subject to adjustment in accordance with the Following Business Day Convention </w:t>
      </w:r>
    </w:p>
    <w:p>
      <w:pPr>
        <w:pStyle w:val="BodyTextFirstIndent"/>
        <w:tabs>
          <w:tab w:val="clear" w:pos="3960"/>
          <w:tab w:val="left" w:pos="1080" w:leader="none"/>
        </w:tabs>
        <w:ind w:hanging="2880" w:start="3600" w:end="0"/>
        <w:jc w:val="both"/>
        <w:rPr/>
      </w:pPr>
      <w:r>
        <w:rPr/>
        <w:t>Sterling Fixed Rate:</w:t>
        <w:tab/>
        <w:t>___% per annum</w:t>
      </w:r>
    </w:p>
    <w:p>
      <w:pPr>
        <w:pStyle w:val="BodyTextFirstIndent"/>
        <w:tabs>
          <w:tab w:val="clear" w:pos="3960"/>
          <w:tab w:val="left" w:pos="1080" w:leader="none"/>
        </w:tabs>
        <w:ind w:hanging="2880" w:start="3600" w:end="0"/>
        <w:jc w:val="both"/>
        <w:rPr/>
      </w:pPr>
      <w:r>
        <w:rPr/>
        <w:t>Sterling Fixed Rate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FIXED U.S. DOLLAR AMOUNTS</w:t>
      </w:r>
    </w:p>
    <w:p>
      <w:pPr>
        <w:pStyle w:val="BodyTextFirstIndent"/>
        <w:tabs>
          <w:tab w:val="clear" w:pos="3960"/>
          <w:tab w:val="left" w:pos="1080" w:leader="none"/>
        </w:tabs>
        <w:ind w:hanging="2880" w:start="3600" w:end="0"/>
        <w:jc w:val="both"/>
        <w:rPr/>
      </w:pPr>
      <w:r>
        <w:rPr/>
        <w:t>U.S. Dollar Payer:</w:t>
        <w:tab/>
        <w:t>Counterparty</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Notional Amount:</w:t>
        <w:tab/>
        <w:t>$[350,000,000]</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Payment Dates:</w:t>
        <w:tab/>
        <w:t>The 15</w:t>
      </w:r>
      <w:r>
        <w:rPr>
          <w:vertAlign w:val="superscript"/>
        </w:rPr>
        <w:t>th</w:t>
      </w:r>
      <w:r>
        <w:rPr/>
        <w:t xml:space="preserve"> day of each June and December during the Term of the Transaction, commencing on December 15, 2000, subject to adjustment in accordance with the Following Business Day Convention </w:t>
      </w:r>
    </w:p>
    <w:p>
      <w:pPr>
        <w:pStyle w:val="BodyTextFirstIndent"/>
        <w:tabs>
          <w:tab w:val="clear" w:pos="3960"/>
          <w:tab w:val="left" w:pos="1080" w:leader="none"/>
        </w:tabs>
        <w:ind w:hanging="2880" w:start="3600" w:end="0"/>
        <w:jc w:val="both"/>
        <w:rPr/>
      </w:pPr>
      <w:r>
        <w:rPr/>
        <w:t>U.S. Dollar Fixed Rate:</w:t>
        <w:tab/>
        <w:t xml:space="preserve"> % per annum</w:t>
      </w:r>
    </w:p>
    <w:p>
      <w:pPr>
        <w:pStyle w:val="BodyTextFirstIndent"/>
        <w:tabs>
          <w:tab w:val="clear" w:pos="3960"/>
          <w:tab w:val="left" w:pos="1080" w:leader="none"/>
        </w:tabs>
        <w:ind w:hanging="2880" w:start="3600" w:end="0"/>
        <w:jc w:val="both"/>
        <w:rPr/>
      </w:pPr>
      <w:r>
        <w:rPr/>
        <w:t>U.S. Dollar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INITIAL EXCHANGES</w:t>
      </w:r>
    </w:p>
    <w:p>
      <w:pPr>
        <w:pStyle w:val="BodyTextFirstIndent"/>
        <w:tabs>
          <w:tab w:val="clear" w:pos="3960"/>
          <w:tab w:val="left" w:pos="1080" w:leader="none"/>
        </w:tabs>
        <w:ind w:hanging="2880" w:start="3600" w:end="0"/>
        <w:jc w:val="both"/>
        <w:rPr/>
      </w:pPr>
      <w:r>
        <w:rPr/>
        <w:t>Initial Exchange Date:</w:t>
        <w:tab/>
        <w:t>The date of issuance of the Bonds</w:t>
      </w:r>
    </w:p>
    <w:p>
      <w:pPr>
        <w:pStyle w:val="BodyTextFirstIndent"/>
        <w:tabs>
          <w:tab w:val="clear" w:pos="3960"/>
          <w:tab w:val="left" w:pos="1080" w:leader="none"/>
        </w:tabs>
        <w:ind w:hanging="2880" w:start="3600" w:end="0"/>
        <w:jc w:val="both"/>
        <w:rPr/>
      </w:pPr>
      <w:r>
        <w:rPr/>
        <w:t>UBS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TextFirstIndent"/>
        <w:tabs>
          <w:tab w:val="clear" w:pos="3960"/>
          <w:tab w:val="left" w:pos="1080" w:leader="none"/>
        </w:tabs>
        <w:ind w:hanging="2880" w:start="3600" w:end="0"/>
        <w:jc w:val="both"/>
        <w:rPr/>
      </w:pPr>
      <w:r>
        <w:rPr/>
        <w:t>Counterparty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w:t>
      </w:r>
    </w:p>
    <w:p>
      <w:pPr>
        <w:pStyle w:val="Normal12Before"/>
        <w:tabs>
          <w:tab w:val="clear" w:pos="720"/>
          <w:tab w:val="left" w:pos="1080" w:leader="none"/>
        </w:tabs>
        <w:jc w:val="both"/>
        <w:rPr/>
      </w:pPr>
      <w:r>
        <w:rPr/>
        <w:t xml:space="preserve">FINAL EXCHANGES </w:t>
      </w:r>
    </w:p>
    <w:p>
      <w:pPr>
        <w:pStyle w:val="BodyTextFirstIndent"/>
        <w:tabs>
          <w:tab w:val="clear" w:pos="3960"/>
          <w:tab w:val="left" w:pos="1080" w:leader="none"/>
        </w:tabs>
        <w:ind w:hanging="2880" w:start="3600" w:end="0"/>
        <w:jc w:val="both"/>
        <w:rPr/>
      </w:pPr>
      <w:r>
        <w:rPr/>
        <w:t>Final Exchange Date:</w:t>
        <w:tab/>
        <w:t>June 15, 2003, subject to adjustment in accordance with the Following Business Day Convention</w:t>
      </w:r>
    </w:p>
    <w:p>
      <w:pPr>
        <w:pStyle w:val="BodyTextFirstIndent"/>
        <w:tabs>
          <w:tab w:val="clear" w:pos="3960"/>
          <w:tab w:val="left" w:pos="1080" w:leader="none"/>
        </w:tabs>
        <w:ind w:hanging="2880" w:start="3600" w:end="0"/>
        <w:jc w:val="both"/>
        <w:rPr/>
      </w:pPr>
      <w:r>
        <w:rPr/>
        <w:t>UBS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 xml:space="preserve">£_________ </w:t>
      </w:r>
    </w:p>
    <w:p>
      <w:pPr>
        <w:pStyle w:val="BodyTextFirstIndent"/>
        <w:tabs>
          <w:tab w:val="clear" w:pos="3960"/>
          <w:tab w:val="left" w:pos="1080" w:leader="none"/>
        </w:tabs>
        <w:ind w:hanging="2880" w:start="3600" w:end="0"/>
        <w:jc w:val="both"/>
        <w:rPr/>
      </w:pPr>
      <w:r>
        <w:rPr/>
        <w:t>Counterparty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Account Details</w:t>
      </w:r>
    </w:p>
    <w:p>
      <w:pPr>
        <w:pStyle w:val="BodyTextFirstIndent"/>
        <w:tabs>
          <w:tab w:val="clear" w:pos="3960"/>
          <w:tab w:val="left" w:pos="1080" w:leader="none"/>
        </w:tabs>
        <w:ind w:hanging="2880" w:start="3600" w:end="0"/>
        <w:jc w:val="both"/>
        <w:rPr/>
      </w:pPr>
      <w:r>
        <w:rPr/>
        <w:t>Account Details of UBS:</w:t>
      </w:r>
    </w:p>
    <w:p>
      <w:pPr>
        <w:pStyle w:val="BodyTextFirstIndent"/>
        <w:tabs>
          <w:tab w:val="clear" w:pos="3960"/>
          <w:tab w:val="left" w:pos="1080" w:leader="none"/>
        </w:tabs>
        <w:ind w:hanging="2880" w:start="3600" w:end="0"/>
        <w:jc w:val="both"/>
        <w:rPr/>
      </w:pPr>
      <w:r>
        <w:rPr/>
        <w:tab/>
        <w:t>Sterling Payment Instructions:</w:t>
      </w:r>
    </w:p>
    <w:p>
      <w:pPr>
        <w:pStyle w:val="BodyTextFirstIndent2"/>
        <w:tabs>
          <w:tab w:val="clear" w:pos="3960"/>
          <w:tab w:val="left" w:pos="1080" w:leader="none"/>
        </w:tabs>
        <w:spacing w:before="240" w:after="0"/>
        <w:ind w:hanging="2880" w:start="3600" w:end="0"/>
        <w:jc w:val="both"/>
        <w:rPr/>
      </w:pPr>
      <w:r>
        <w:rPr/>
        <w:tab/>
        <w:t>Correspondent Bank:</w:t>
        <w:tab/>
        <w:t>Direct via UK Clearing, Chaps. Sort Code: 23-23-23</w:t>
      </w:r>
    </w:p>
    <w:p>
      <w:pPr>
        <w:pStyle w:val="BodyTextFirstIndent2"/>
        <w:tabs>
          <w:tab w:val="clear" w:pos="3960"/>
          <w:tab w:val="left" w:pos="1080" w:leader="none"/>
        </w:tabs>
        <w:spacing w:before="0" w:after="0"/>
        <w:ind w:hanging="2880" w:start="3600" w:end="0"/>
        <w:jc w:val="both"/>
        <w:rPr/>
      </w:pPr>
      <w:r>
        <w:rPr/>
        <w:tab/>
        <w:t>Swift Address:</w:t>
        <w:tab/>
        <w:t>UBSWGB2LXXX</w:t>
      </w:r>
    </w:p>
    <w:p>
      <w:pPr>
        <w:pStyle w:val="BodyTextFirstIndent2"/>
        <w:tabs>
          <w:tab w:val="clear" w:pos="3960"/>
          <w:tab w:val="left" w:pos="1080" w:leader="none"/>
        </w:tabs>
        <w:spacing w:before="0" w:after="0"/>
        <w:ind w:hanging="2880" w:start="3600" w:end="0"/>
        <w:jc w:val="both"/>
        <w:rPr/>
      </w:pPr>
      <w:r>
        <w:rPr/>
        <w:tab/>
        <w:t>Favour:</w:t>
        <w:tab/>
        <w:t>UBS AG, London Branch</w:t>
      </w:r>
    </w:p>
    <w:p>
      <w:pPr>
        <w:pStyle w:val="BodyTextFirstIndent2"/>
        <w:keepNext w:val="true"/>
        <w:tabs>
          <w:tab w:val="clear" w:pos="3960"/>
          <w:tab w:val="left" w:pos="1080" w:leader="none"/>
        </w:tabs>
        <w:spacing w:before="240" w:after="0"/>
        <w:ind w:hanging="2880" w:start="3600" w:end="0"/>
        <w:jc w:val="both"/>
        <w:rPr/>
      </w:pPr>
      <w:r>
        <w:rPr/>
        <w:tab/>
        <w:t>U.S. Dollar Payment Instructions:</w:t>
      </w:r>
    </w:p>
    <w:p>
      <w:pPr>
        <w:pStyle w:val="BodyTextFirstIndent2"/>
        <w:keepNext w:val="true"/>
        <w:tabs>
          <w:tab w:val="clear" w:pos="3960"/>
          <w:tab w:val="left" w:pos="1080" w:leader="none"/>
        </w:tabs>
        <w:spacing w:before="240" w:after="0"/>
        <w:ind w:hanging="2880" w:start="3600" w:end="0"/>
        <w:jc w:val="both"/>
        <w:rPr/>
      </w:pPr>
      <w:r>
        <w:rPr/>
        <w:tab/>
        <w:t>Bank:</w:t>
        <w:tab/>
        <w:t>UBS AG, Stamford</w:t>
      </w:r>
    </w:p>
    <w:p>
      <w:pPr>
        <w:pStyle w:val="BodyTextFirstIndent2"/>
        <w:tabs>
          <w:tab w:val="clear" w:pos="3960"/>
          <w:tab w:val="left" w:pos="1080" w:leader="none"/>
        </w:tabs>
        <w:spacing w:before="0" w:after="0"/>
        <w:ind w:hanging="2880" w:start="3600" w:end="0"/>
        <w:jc w:val="both"/>
        <w:rPr/>
      </w:pPr>
      <w:r>
        <w:rPr/>
        <w:tab/>
        <w:t>ABA Number:</w:t>
        <w:tab/>
        <w:t>026-007-993</w:t>
      </w:r>
    </w:p>
    <w:p>
      <w:pPr>
        <w:pStyle w:val="BodyTextFirstIndent2"/>
        <w:tabs>
          <w:tab w:val="clear" w:pos="3960"/>
          <w:tab w:val="left" w:pos="1080" w:leader="none"/>
        </w:tabs>
        <w:spacing w:before="0" w:after="0"/>
        <w:ind w:hanging="2880" w:start="3600" w:end="0"/>
        <w:jc w:val="both"/>
        <w:rPr/>
      </w:pPr>
      <w:r>
        <w:rPr/>
        <w:tab/>
        <w:t>Account Name:</w:t>
        <w:tab/>
        <w:t>UBS AG, London</w:t>
      </w:r>
    </w:p>
    <w:p>
      <w:pPr>
        <w:pStyle w:val="BodyTextFirstIndent2"/>
        <w:tabs>
          <w:tab w:val="clear" w:pos="3960"/>
          <w:tab w:val="left" w:pos="1080" w:leader="none"/>
        </w:tabs>
        <w:spacing w:before="0" w:after="0"/>
        <w:ind w:hanging="2880" w:start="3600" w:end="0"/>
        <w:jc w:val="both"/>
        <w:rPr/>
      </w:pPr>
      <w:r>
        <w:rPr/>
        <w:tab/>
        <w:t>Account Number:</w:t>
        <w:tab/>
        <w:t>_________</w:t>
      </w:r>
    </w:p>
    <w:p>
      <w:pPr>
        <w:pStyle w:val="BodyTextIndent2"/>
        <w:keepNext w:val="true"/>
        <w:keepLines/>
        <w:tabs>
          <w:tab w:val="clear" w:pos="720"/>
          <w:tab w:val="left" w:pos="1080" w:leader="none"/>
        </w:tabs>
        <w:ind w:hanging="2880" w:start="3600" w:end="0"/>
        <w:jc w:val="both"/>
        <w:rPr/>
      </w:pPr>
      <w:r>
        <w:rPr/>
        <w:t>Account Details of Counterparty:</w:t>
        <w:tab/>
      </w:r>
    </w:p>
    <w:p>
      <w:pPr>
        <w:pStyle w:val="Normal"/>
        <w:keepNext w:val="true"/>
        <w:keepLines/>
        <w:tabs>
          <w:tab w:val="clear" w:pos="720"/>
          <w:tab w:val="left" w:pos="1080" w:leader="none"/>
        </w:tabs>
        <w:spacing w:before="240" w:after="0"/>
        <w:ind w:hanging="2880" w:start="3600" w:end="0"/>
        <w:jc w:val="both"/>
        <w:rPr/>
      </w:pPr>
      <w:r>
        <w:rPr/>
        <w:tab/>
        <w:t>Sterling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U.S. Dollar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520" w:start="3600" w:end="0"/>
        <w:jc w:val="both"/>
        <w:rPr/>
      </w:pPr>
      <w:r>
        <w:rPr/>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Termination</w:t>
      </w:r>
    </w:p>
    <w:p>
      <w:pPr>
        <w:pStyle w:val="BodyText"/>
        <w:tabs>
          <w:tab w:val="clear" w:pos="720"/>
          <w:tab w:val="left" w:pos="1080" w:leader="none"/>
        </w:tabs>
        <w:ind w:firstLine="720" w:end="0"/>
        <w:jc w:val="both"/>
        <w:rPr/>
      </w:pPr>
      <w:r>
        <w:rPr/>
        <w:t>The Transaction will terminate, and an Early Termination Date hereunder will occur, on the same day as the occurrence of such an Early Termination Date under the Company Contingent Swap (hereinafter defined). In connection with such Early Termination Date, amounts will be payable by the parties under Section 6(e) of the Master Agreement with respect to the Transaction. As used herein, “Company Contingent Swap” means the U.S. Dollar to Sterling Swap evidenced by the Confirmation dated the date hereof between UBS and Counterparty entitled “(Swap 2 – Company Contingent U.S. Dollar to Sterling Swap with UBS).”</w:t>
      </w:r>
    </w:p>
    <w:p>
      <w:pPr>
        <w:pStyle w:val="Normal12Before"/>
        <w:keepNext w:val="true"/>
        <w:tabs>
          <w:tab w:val="left" w:pos="720" w:leader="none"/>
          <w:tab w:val="left" w:pos="1080" w:leader="none"/>
        </w:tabs>
        <w:jc w:val="both"/>
        <w:rPr>
          <w:b/>
        </w:rPr>
      </w:pPr>
      <w:r>
        <w:rPr>
          <w:b/>
        </w:rPr>
        <w:t>4.</w:t>
        <w:tab/>
        <w:t>Condition Precedent</w:t>
      </w:r>
    </w:p>
    <w:p>
      <w:pPr>
        <w:pStyle w:val="BodyText"/>
        <w:tabs>
          <w:tab w:val="clear" w:pos="720"/>
          <w:tab w:val="left" w:pos="1080" w:leader="none"/>
        </w:tabs>
        <w:ind w:firstLine="720" w:end="0"/>
        <w:jc w:val="both"/>
        <w:rPr/>
      </w:pPr>
      <w:r>
        <w:rPr/>
        <w:t>All payment obligations in connection with the Transaction are subject to the condition that the Certificates provided for in the Trust Agreement dated as of June 1, 2000 between The Bank of New York, as Trustee of the Enron Pass-Through Asset Trust 2000-1, and Counterparty and the Bonds each shall have been issued as contemplated by the Offering Circular dated June __, 2000 relating to such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
        <w:tabs>
          <w:tab w:val="clear" w:pos="720"/>
          <w:tab w:val="left" w:pos="1080" w:leader="none"/>
        </w:tabs>
        <w:ind w:firstLine="720" w:end="0"/>
        <w:jc w:val="both"/>
        <w:rPr/>
      </w:pPr>
      <w:r>
        <w:rPr/>
        <w:t>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Boulevard, Stamford, Connecticut 06901, Attention:  _________.</w:t>
      </w:r>
    </w:p>
    <w:p>
      <w:pPr>
        <w:pStyle w:val="BodyText"/>
        <w:tabs>
          <w:tab w:val="clear" w:pos="720"/>
          <w:tab w:val="left" w:pos="1080" w:leader="none"/>
        </w:tabs>
        <w:ind w:firstLine="720" w:end="0"/>
        <w:jc w:val="both"/>
        <w:rPr/>
      </w:pPr>
      <w:r>
        <w:rPr/>
        <w:t>We are happy to have completed this Transaction with you.</w:t>
      </w:r>
    </w:p>
    <w:p>
      <w:pPr>
        <w:pStyle w:val="sign"/>
        <w:tabs>
          <w:tab w:val="clear" w:pos="720"/>
          <w:tab w:val="left" w:pos="1080" w:leader="none"/>
          <w:tab w:val="left" w:pos="4680" w:leader="none"/>
        </w:tabs>
        <w:rPr/>
      </w:pPr>
      <w:r>
        <w:rPr/>
        <w:t>Very truly yours,</w:t>
        <w:br/>
        <w:br/>
        <w:t>UBS AG, London Branch</w:t>
        <w:br/>
        <w:br/>
        <w:br/>
        <w:t>By: _______________________</w:t>
      </w:r>
    </w:p>
    <w:p>
      <w:pPr>
        <w:pStyle w:val="sign"/>
        <w:tabs>
          <w:tab w:val="clear" w:pos="720"/>
          <w:tab w:val="left" w:pos="1080" w:leader="none"/>
          <w:tab w:val="left" w:pos="4680" w:leader="none"/>
        </w:tabs>
        <w:spacing w:before="0" w:after="0"/>
        <w:rPr/>
      </w:pPr>
      <w:r>
        <w:rPr/>
        <w:tab/>
        <w:t>Name:</w:t>
      </w:r>
    </w:p>
    <w:p>
      <w:pPr>
        <w:pStyle w:val="sign"/>
        <w:tabs>
          <w:tab w:val="clear" w:pos="720"/>
          <w:tab w:val="left" w:pos="1080" w:leader="none"/>
          <w:tab w:val="left" w:pos="4680" w:leader="none"/>
        </w:tabs>
        <w:spacing w:before="0" w:after="0"/>
        <w:rPr/>
      </w:pPr>
      <w:r>
        <w:rPr/>
        <w:tab/>
        <w:t xml:space="preserve">Title: </w:t>
        <w:br/>
      </w:r>
    </w:p>
    <w:p>
      <w:pPr>
        <w:pStyle w:val="sign"/>
        <w:tabs>
          <w:tab w:val="clear" w:pos="720"/>
          <w:tab w:val="left" w:pos="1080" w:leader="none"/>
          <w:tab w:val="left" w:pos="4680" w:leader="none"/>
        </w:tabs>
        <w:rPr/>
      </w:pPr>
      <w:r>
        <w:rPr/>
        <w:t>By: _______________________</w:t>
      </w:r>
    </w:p>
    <w:p>
      <w:pPr>
        <w:pStyle w:val="sign"/>
        <w:tabs>
          <w:tab w:val="clear" w:pos="720"/>
          <w:tab w:val="left" w:pos="1080" w:leader="none"/>
          <w:tab w:val="left" w:pos="4680" w:leader="none"/>
        </w:tabs>
        <w:spacing w:before="0" w:after="0"/>
        <w:rPr/>
      </w:pPr>
      <w:r>
        <w:rPr/>
        <w:tab/>
        <w:t>Name:</w:t>
      </w:r>
    </w:p>
    <w:p>
      <w:pPr>
        <w:pStyle w:val="sign"/>
        <w:tabs>
          <w:tab w:val="clear" w:pos="720"/>
          <w:tab w:val="left" w:pos="1080" w:leader="none"/>
          <w:tab w:val="left" w:pos="4680" w:leader="none"/>
        </w:tabs>
        <w:spacing w:before="0" w:after="0"/>
        <w:rPr/>
      </w:pPr>
      <w:r>
        <w:rPr/>
        <w:tab/>
        <w:t xml:space="preserve">Title: </w:t>
        <w:br/>
      </w:r>
    </w:p>
    <w:p>
      <w:pPr>
        <w:pStyle w:val="Normal12Before"/>
        <w:tabs>
          <w:tab w:val="clear" w:pos="720"/>
          <w:tab w:val="left" w:pos="1080" w:leader="none"/>
        </w:tabs>
        <w:rPr/>
      </w:pPr>
      <w:r>
        <w:rPr/>
      </w:r>
    </w:p>
    <w:p>
      <w:pPr>
        <w:pStyle w:val="Normal12Before"/>
        <w:tabs>
          <w:tab w:val="clear" w:pos="720"/>
          <w:tab w:val="left" w:pos="1080" w:leader="none"/>
        </w:tabs>
        <w:rPr/>
      </w:pPr>
      <w:r>
        <w:rPr/>
      </w:r>
    </w:p>
    <w:p>
      <w:pPr>
        <w:pStyle w:val="Normal12Before"/>
        <w:tabs>
          <w:tab w:val="clear" w:pos="720"/>
          <w:tab w:val="left" w:pos="1080" w:leader="none"/>
        </w:tabs>
        <w:rPr/>
      </w:pPr>
      <w:r>
        <w:rPr/>
      </w:r>
    </w:p>
    <w:p>
      <w:pPr>
        <w:pStyle w:val="Normal12Before"/>
        <w:tabs>
          <w:tab w:val="clear" w:pos="720"/>
          <w:tab w:val="left" w:pos="1080" w:leader="none"/>
        </w:tabs>
        <w:rPr/>
      </w:pPr>
      <w:r>
        <w:rPr/>
      </w:r>
    </w:p>
    <w:p>
      <w:pPr>
        <w:pStyle w:val="Normal12Before"/>
        <w:tabs>
          <w:tab w:val="clear" w:pos="720"/>
          <w:tab w:val="left" w:pos="1080" w:leader="none"/>
        </w:tabs>
        <w:rPr/>
      </w:pPr>
      <w:r>
        <w:rPr/>
      </w:r>
    </w:p>
    <w:p>
      <w:pPr>
        <w:pStyle w:val="Normal12Before"/>
        <w:tabs>
          <w:tab w:val="clear" w:pos="720"/>
          <w:tab w:val="left" w:pos="1080" w:leader="none"/>
        </w:tabs>
        <w:rPr/>
      </w:pPr>
      <w:r>
        <w:rPr/>
        <w:t>Accepted and confirmed as of</w:t>
        <w:br/>
        <w:t>the date first above written:</w:t>
      </w:r>
    </w:p>
    <w:p>
      <w:pPr>
        <w:pStyle w:val="Normal12Before"/>
        <w:tabs>
          <w:tab w:val="clear" w:pos="720"/>
          <w:tab w:val="left" w:pos="1080" w:leader="none"/>
        </w:tabs>
        <w:rPr/>
      </w:pPr>
      <w:r>
        <w:rPr/>
        <w:t>Enron Corp.</w:t>
        <w:br/>
        <w:br/>
        <w:br/>
        <w:t>By:______________________</w:t>
      </w:r>
    </w:p>
    <w:p>
      <w:pPr>
        <w:pStyle w:val="Normal"/>
        <w:tabs>
          <w:tab w:val="clear" w:pos="720"/>
          <w:tab w:val="left" w:pos="360" w:leader="none"/>
          <w:tab w:val="left" w:pos="1080" w:leader="none"/>
        </w:tabs>
        <w:rPr/>
      </w:pPr>
      <w:r>
        <w:rPr/>
        <w:tab/>
        <w:t>Name:</w:t>
      </w:r>
    </w:p>
    <w:p>
      <w:pPr>
        <w:pStyle w:val="Normal"/>
        <w:tabs>
          <w:tab w:val="clear" w:pos="720"/>
          <w:tab w:val="left" w:pos="360" w:leader="none"/>
          <w:tab w:val="left" w:pos="1080" w:leader="none"/>
        </w:tabs>
        <w:spacing w:before="0" w:after="480"/>
        <w:rPr/>
      </w:pPr>
      <w:r>
        <w:rPr/>
        <w:tab/>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WSPRLNum" w:date="0-00-00T00:00:00Z" w:initials="WSP&amp;R">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Scheme name is WSPR: 1|ARTICLE %1; 254|Section %1.%2; 0|%3.; 2|(%4); 3|(%5); 0|(%6); 4|%7); 2|%8); 4|%9.; </w:t>
      </w:r>
    </w:p>
  </w:comment>
  <w:comment w:id="0" w:author="WSPRLNum" w:date="0-00-00T00:00:00Z" w:initials="WSPRLNum">
    <w:p>
      <w:pPr>
        <w:overflowPunct w:val="false"/>
        <w:bidi w:val="0"/>
        <w:rPr/>
      </w:pPr>
      <w:r>
        <w:annotationRef/>
      </w:r>
      <w:r>
        <w:rPr>
          <w:rFonts w:ascii="Times New Roman" w:hAnsi="Times New Roman" w:eastAsia="Times New Roman" w:cs="Times New Roman"/>
          <w:color w:val="auto"/>
          <w:sz w:val="20"/>
          <w:szCs w:val="20"/>
          <w:lang w:bidi="en-US" w:eastAsia="en-US" w:val="en-US"/>
        </w:rPr>
        <w:t>5/19/00 Marc Harris checked this document and said it is a stable Word document. kthorsen.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DocID"/>
      <w:rPr/>
    </w:pPr>
    <w:r>
      <w:rPr/>
      <w:t>63236117.02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63236117.02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t>63236117.02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jc w:val="center"/>
      <w:rPr>
        <w:rStyle w:val="PageNumber"/>
        <w:sz w:val="20"/>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5</w:t>
    </w:r>
    <w:r>
      <w:rPr>
        <w:rStyle w:val="PageNumber"/>
        <w:sz w:val="20"/>
        <w:lang w:val="en-US"/>
      </w:rPr>
      <w:fldChar w:fldCharType="end"/>
    </w:r>
  </w:p>
  <w:p>
    <w:pPr>
      <w:pStyle w:val="DocID"/>
      <w:rPr/>
    </w:pPr>
    <w:r>
      <w:rPr/>
      <w:t>63236117.02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br/>
      <w:t>DRAFT</w:t>
      <w:br/>
      <w:t>6/2/00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160"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FF"/>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FF"/>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10"/>
      </w:numPr>
    </w:pPr>
    <w:rPr/>
  </w:style>
  <w:style w:type="paragraph" w:styleId="BodyTextFirstIndent">
    <w:name w:val="Body Text First Indent"/>
    <w:basedOn w:val="BodyText"/>
    <w:qFormat/>
    <w:pPr>
      <w:tabs>
        <w:tab w:val="clear" w:pos="720"/>
        <w:tab w:val="left" w:pos="3960" w:leader="none"/>
      </w:tabs>
      <w:ind w:hanging="3240" w:start="396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TOC1">
    <w:name w:val="toc 1"/>
    <w:basedOn w:val="Normal"/>
    <w:next w:val="Normal"/>
    <w:pPr>
      <w:keepLines/>
      <w:tabs>
        <w:tab w:val="clear" w:pos="720"/>
        <w:tab w:val="right" w:pos="9360" w:leader="dot"/>
      </w:tabs>
      <w:spacing w:before="360" w:after="0"/>
      <w:jc w:val="center"/>
    </w:pPr>
    <w:rPr>
      <w:caps/>
    </w:rPr>
  </w:style>
  <w:style w:type="paragraph" w:styleId="TOC2">
    <w:name w:val="toc 2"/>
    <w:basedOn w:val="Normal"/>
    <w:next w:val="Normal"/>
    <w:pPr>
      <w:keepLines/>
      <w:tabs>
        <w:tab w:val="clear" w:pos="720"/>
        <w:tab w:val="right" w:pos="9346" w:leader="dot"/>
      </w:tabs>
      <w:spacing w:before="24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BodyText"/>
    <w:qFormat/>
    <w:pPr>
      <w:ind w:hanging="2520" w:start="3240" w:end="0"/>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tabs>
        <w:tab w:val="clear" w:pos="720"/>
        <w:tab w:val="left" w:pos="3960" w:leader="none"/>
      </w:tabs>
      <w:ind w:hanging="2520" w:start="39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4">
    <w:name w:val="toc 4"/>
    <w:basedOn w:val="Normal"/>
    <w:next w:val="Normal"/>
    <w:pPr>
      <w:keepLines/>
      <w:tabs>
        <w:tab w:val="clear" w:pos="720"/>
        <w:tab w:val="right" w:pos="2160" w:leader="none"/>
        <w:tab w:val="right" w:pos="9346" w:leader="dot"/>
      </w:tabs>
      <w:ind w:hanging="979" w:start="2419" w:end="720"/>
    </w:pPr>
    <w:rPr/>
  </w:style>
  <w:style w:type="paragraph" w:styleId="TOC5">
    <w:name w:val="toc 5"/>
    <w:basedOn w:val="Normal"/>
    <w:next w:val="Normal"/>
    <w:pPr>
      <w:keepLines/>
      <w:tabs>
        <w:tab w:val="clear" w:pos="720"/>
        <w:tab w:val="right" w:pos="9346" w:leader="dot"/>
      </w:tabs>
      <w:ind w:hanging="547" w:start="2880" w:end="720"/>
    </w:pPr>
    <w:rPr/>
  </w:style>
  <w:style w:type="paragraph" w:styleId="TOC6">
    <w:name w:val="toc 6"/>
    <w:basedOn w:val="Normal"/>
    <w:next w:val="Normal"/>
    <w:pPr>
      <w:keepLines/>
      <w:tabs>
        <w:tab w:val="clear" w:pos="720"/>
        <w:tab w:val="right" w:pos="9346" w:leader="dot"/>
      </w:tabs>
      <w:ind w:hanging="547" w:start="3427" w:end="720"/>
    </w:pPr>
    <w:rPr/>
  </w:style>
  <w:style w:type="paragraph" w:styleId="TOC7">
    <w:name w:val="toc 7"/>
    <w:basedOn w:val="Normal"/>
    <w:next w:val="Normal"/>
    <w:pPr>
      <w:keepLines/>
      <w:tabs>
        <w:tab w:val="clear" w:pos="720"/>
        <w:tab w:val="right" w:pos="9346" w:leader="dot"/>
      </w:tabs>
      <w:ind w:hanging="533" w:start="3960" w:end="720"/>
    </w:pPr>
    <w:rPr/>
  </w:style>
  <w:style w:type="paragraph" w:styleId="TOC8">
    <w:name w:val="toc 8"/>
    <w:basedOn w:val="Normal"/>
    <w:next w:val="Normal"/>
    <w:pPr>
      <w:keepLines/>
      <w:tabs>
        <w:tab w:val="clear" w:pos="720"/>
        <w:tab w:val="right" w:pos="9346" w:leader="dot"/>
      </w:tabs>
      <w:ind w:hanging="533" w:start="3960" w:end="720"/>
    </w:pPr>
    <w:rPr/>
  </w:style>
  <w:style w:type="paragraph" w:styleId="TOC9">
    <w:name w:val="toc 9"/>
    <w:basedOn w:val="Normal"/>
    <w:next w:val="Normal"/>
    <w:pPr>
      <w:keepLines/>
      <w:tabs>
        <w:tab w:val="clear" w:pos="720"/>
        <w:tab w:val="right" w:pos="9346" w:leader="dot"/>
      </w:tabs>
      <w:ind w:hanging="533" w:start="3960" w:end="720"/>
    </w:pPr>
    <w:rPr/>
  </w:style>
  <w:style w:type="paragraph" w:styleId="Normal12Before">
    <w:name w:val="Normal 12 Before"/>
    <w:basedOn w:val="Normal"/>
    <w:qFormat/>
    <w:pPr>
      <w:spacing w:before="240" w:after="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tabs>
        <w:tab w:val="clear" w:pos="1901"/>
        <w:tab w:val="left" w:pos="720" w:leader="none"/>
      </w:tabs>
      <w:ind w:hanging="0" w:start="0" w:end="0"/>
      <w:outlineLvl w:val="9"/>
    </w:pPr>
    <w:rPr>
      <w:b/>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Body4w">
    <w:name w:val="Body4w/#"/>
    <w:basedOn w:val="Heading4"/>
    <w:qFormat/>
    <w:pPr>
      <w:numPr>
        <w:ilvl w:val="0"/>
        <w:numId w:val="0"/>
      </w:numPr>
      <w:ind w:firstLine="720" w:start="720"/>
      <w:outlineLvl w:val="9"/>
    </w:pPr>
    <w:rPr>
      <w:color w:val="000000"/>
    </w:rPr>
  </w:style>
  <w:style w:type="paragraph" w:styleId="SchedHead">
    <w:name w:val="SchedHead"/>
    <w:basedOn w:val="Heading1"/>
    <w:qFormat/>
    <w:pPr>
      <w:numPr>
        <w:ilvl w:val="0"/>
        <w:numId w:val="0"/>
      </w:numPr>
      <w:outlineLvl w:val="9"/>
    </w:pPr>
    <w:rPr/>
  </w:style>
  <w:style w:type="paragraph" w:styleId="SchedTitle">
    <w:name w:val="SchedTitle"/>
    <w:basedOn w:val="Normal"/>
    <w:qFormat/>
    <w:pPr>
      <w:spacing w:before="0" w:after="360"/>
      <w:jc w:val="center"/>
    </w:pPr>
    <w:rPr>
      <w:caps/>
      <w:color w:val="0000FF"/>
    </w:rPr>
  </w:style>
  <w:style w:type="paragraph" w:styleId="sign">
    <w:name w:val="sign."/>
    <w:basedOn w:val="Normal"/>
    <w:qFormat/>
    <w:pPr>
      <w:spacing w:before="240" w:after="0"/>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2000-06-03T19:52:00Z</dcterms:created>
  <dc:creator>OBRIENP</dc:creator>
  <dc:description/>
  <cp:keywords>63236117.03</cp:keywords>
  <dc:language>en-CA</dc:language>
  <cp:lastModifiedBy>Winthrop, Stimson, Putnam &amp; Roberts</cp:lastModifiedBy>
  <cp:lastPrinted>2000-06-03T14:32:00Z</cp:lastPrinted>
  <dcterms:modified xsi:type="dcterms:W3CDTF">2000-06-03T19:52:00Z</dcterms:modified>
  <cp:revision>2</cp:revision>
  <dc:subject/>
  <dc:title>I</dc:title>
</cp:coreProperties>
</file>