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footer8.xml" ContentType="application/vnd.openxmlformats-officedocument.wordprocessingml.footer+xml"/>
  <Override PartName="/word/footer6.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widowControl w:val="false"/>
        <w:suppressAutoHyphens w:val="true"/>
        <w:bidi w:val="0"/>
        <w:jc w:val="start"/>
        <w:rPr/>
      </w:pPr>
      <w:r>
        <w:rPr/>
        <w:t>original document      : G:\DMS\NY01\MUKUNAH\FINAGMTS\63235568.02</w:t>
      </w:r>
    </w:p>
    <w:p>
      <w:pPr>
        <w:pStyle w:val="Normal"/>
        <w:widowControl w:val="false"/>
        <w:suppressAutoHyphens w:val="true"/>
        <w:bidi w:val="0"/>
        <w:jc w:val="start"/>
        <w:rPr/>
      </w:pPr>
      <w:r>
        <w:rPr/>
        <w:t>and revised document: G:\DMS\NY01\MUKUNAH\FINAGMTS\63235568.03</w:t>
      </w:r>
    </w:p>
    <w:p>
      <w:pPr>
        <w:pStyle w:val="Normal"/>
        <w:widowControl w:val="false"/>
        <w:suppressAutoHyphens w:val="true"/>
        <w:bidi w:val="0"/>
        <w:jc w:val="start"/>
        <w:rPr/>
      </w:pPr>
      <w:r>
        <w:rPr/>
      </w:r>
    </w:p>
    <w:p>
      <w:pPr>
        <w:pStyle w:val="Normal"/>
        <w:widowControl w:val="false"/>
        <w:suppressAutoHyphens w:val="true"/>
        <w:bidi w:val="0"/>
        <w:jc w:val="start"/>
        <w:rPr/>
      </w:pPr>
      <w:r>
        <w:rPr/>
        <w:t>CompareRite found      33 change(s) in the text</w:t>
      </w:r>
    </w:p>
    <w:p>
      <w:pPr>
        <w:pStyle w:val="Normal"/>
        <w:widowControl w:val="false"/>
        <w:suppressAutoHyphens w:val="true"/>
        <w:bidi w:val="0"/>
        <w:jc w:val="start"/>
        <w:rPr/>
      </w:pPr>
      <w:r>
        <w:rPr/>
        <w:t>CompareRite found        8 change(s) in the notes</w:t>
      </w:r>
    </w:p>
    <w:p>
      <w:pPr>
        <w:pStyle w:val="Normal"/>
        <w:widowControl w:val="false"/>
        <w:suppressAutoHyphens w:val="true"/>
        <w:bidi w:val="0"/>
        <w:jc w:val="start"/>
        <w:rPr/>
      </w:pPr>
      <w:r>
        <w:rPr/>
      </w:r>
    </w:p>
    <w:p>
      <w:pPr>
        <w:pStyle w:val="Normal"/>
        <w:widowControl w:val="false"/>
        <w:suppressAutoHyphens w:val="true"/>
        <w:bidi w:val="0"/>
        <w:jc w:val="start"/>
        <w:rPr/>
      </w:pPr>
      <w:r>
        <w:rPr/>
        <w:t xml:space="preserve">Deletions appear as Overstrike text </w:t>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432" w:bottom="1440"/>
          <w:pgNumType w:start="1" w:fmt="decimal"/>
          <w:formProt w:val="false"/>
          <w:titlePg/>
          <w:textDirection w:val="lrTb"/>
          <w:docGrid w:type="default" w:linePitch="100" w:charSpace="0"/>
        </w:sectPr>
        <w:pStyle w:val="Normal"/>
        <w:widowControl w:val="false"/>
        <w:suppressAutoHyphens w:val="true"/>
        <w:bidi w:val="0"/>
        <w:jc w:val="start"/>
        <w:rPr/>
      </w:pPr>
      <w:r>
        <w:rPr/>
        <w:t xml:space="preserve">Additions appear as Double Underline text </w:t>
      </w:r>
    </w:p>
    <w:p>
      <w:pPr>
        <w:pStyle w:val="Signature"/>
        <w:widowControl/>
        <w:tabs>
          <w:tab w:val="clear" w:pos="4140"/>
          <w:tab w:val="clear" w:pos="8640"/>
        </w:tabs>
        <w:bidi w:val="0"/>
        <w:spacing w:before="480" w:after="480"/>
        <w:ind w:hanging="360" w:start="4147"/>
        <w:jc w:val="start"/>
        <w:rPr>
          <w:rFonts w:ascii="Times New Roman" w:hAnsi="Times New Roman"/>
        </w:rPr>
      </w:pPr>
      <w:r>
        <w:rPr>
          <w:strike/>
        </w:rPr>
        <w:t>_____,</w:t>
      </w:r>
      <w:r>
        <w:rPr/>
        <w:t xml:space="preserve"> </w:t>
      </w:r>
      <w:r>
        <w:rPr>
          <w:u w:val="double"/>
        </w:rPr>
        <w:t>June __,</w:t>
      </w:r>
      <w:r>
        <w:rPr/>
        <w:t xml:space="preserve"> 2000</w:t>
      </w:r>
    </w:p>
    <w:p>
      <w:pPr>
        <w:pStyle w:val="Normal"/>
        <w:widowControl/>
        <w:bidi w:val="0"/>
        <w:jc w:val="start"/>
        <w:rPr/>
      </w:pPr>
      <w:r>
        <w:rPr/>
      </w:r>
    </w:p>
    <w:p>
      <w:pPr>
        <w:pStyle w:val="Normal"/>
        <w:widowControl/>
        <w:bidi w:val="0"/>
        <w:jc w:val="start"/>
        <w:rPr/>
      </w:pPr>
      <w:r>
        <w:rPr/>
      </w:r>
    </w:p>
    <w:p>
      <w:pPr>
        <w:pStyle w:val="Normal"/>
        <w:widowControl/>
        <w:bidi w:val="0"/>
        <w:jc w:val="start"/>
        <w:rPr/>
      </w:pPr>
      <w:r>
        <w:rPr/>
      </w:r>
    </w:p>
    <w:p>
      <w:pPr>
        <w:pStyle w:val="Normal"/>
        <w:widowControl/>
        <w:bidi w:val="0"/>
        <w:jc w:val="start"/>
        <w:rPr/>
      </w:pPr>
      <w:r>
        <w:rPr/>
      </w:r>
    </w:p>
    <w:p>
      <w:pPr>
        <w:pStyle w:val="Normal"/>
        <w:widowControl/>
        <w:bidi w:val="0"/>
        <w:jc w:val="start"/>
        <w:rPr/>
      </w:pPr>
      <w:r>
        <w:rPr/>
      </w:r>
    </w:p>
    <w:p>
      <w:pPr>
        <w:pStyle w:val="Normal"/>
        <w:widowControl/>
        <w:bidi w:val="0"/>
        <w:jc w:val="start"/>
        <w:rPr>
          <w:strike/>
        </w:rPr>
      </w:pPr>
      <w:r>
        <w:rPr>
          <w:strike/>
        </w:rPr>
      </w:r>
    </w:p>
    <w:p>
      <w:pPr>
        <w:pStyle w:val="Normal"/>
        <w:widowControl/>
        <w:bidi w:val="0"/>
        <w:jc w:val="start"/>
        <w:rPr/>
      </w:pPr>
      <w:r>
        <w:rPr>
          <w:strike/>
        </w:rPr>
        <w:t>The Bank of New York, as Trustee of the</w:t>
      </w:r>
    </w:p>
    <w:p>
      <w:pPr>
        <w:pStyle w:val="Normal"/>
        <w:widowControl/>
        <w:bidi w:val="0"/>
        <w:jc w:val="start"/>
        <w:rPr/>
      </w:pPr>
      <w:r>
        <w:rPr/>
      </w:r>
    </w:p>
    <w:p>
      <w:pPr>
        <w:pStyle w:val="Normal"/>
        <w:widowControl/>
        <w:bidi w:val="0"/>
        <w:jc w:val="start"/>
        <w:rPr/>
      </w:pPr>
      <w:r>
        <w:rPr/>
        <w:t xml:space="preserve">Enron Pass-Through Asset Trust 2000-1 </w:t>
      </w:r>
    </w:p>
    <w:p>
      <w:pPr>
        <w:pStyle w:val="Normal"/>
        <w:widowControl/>
        <w:bidi w:val="0"/>
        <w:jc w:val="start"/>
        <w:rPr/>
      </w:pPr>
      <w:r>
        <w:rPr>
          <w:strike/>
        </w:rPr>
        <w:t>Attention: Ming Shiang</w:t>
      </w:r>
      <w:r>
        <w:rPr/>
        <w:t xml:space="preserve"> </w:t>
      </w:r>
      <w:r>
        <w:rPr>
          <w:u w:val="double"/>
        </w:rPr>
        <w:t>c/o The Bank of New York</w:t>
      </w:r>
    </w:p>
    <w:p>
      <w:pPr>
        <w:pStyle w:val="Normal"/>
        <w:widowControl/>
        <w:bidi w:val="0"/>
        <w:jc w:val="start"/>
        <w:rPr/>
      </w:pPr>
      <w:r>
        <w:rPr/>
        <w:t>101 Barclay Street</w:t>
      </w:r>
    </w:p>
    <w:p>
      <w:pPr>
        <w:pStyle w:val="Normal"/>
        <w:widowControl/>
        <w:bidi w:val="0"/>
        <w:jc w:val="start"/>
        <w:rPr/>
      </w:pPr>
      <w:r>
        <w:rPr/>
        <w:t>Floor 21 West</w:t>
      </w:r>
    </w:p>
    <w:p>
      <w:pPr>
        <w:pStyle w:val="Normal"/>
        <w:widowControl/>
        <w:bidi w:val="0"/>
        <w:jc w:val="start"/>
        <w:rPr/>
      </w:pPr>
      <w:r>
        <w:rPr/>
        <w:t>New York, New York 10286</w:t>
      </w:r>
    </w:p>
    <w:p>
      <w:pPr>
        <w:pStyle w:val="Normal"/>
        <w:widowControl/>
        <w:bidi w:val="0"/>
        <w:jc w:val="start"/>
        <w:rPr/>
      </w:pPr>
      <w:r>
        <w:rPr/>
      </w:r>
    </w:p>
    <w:p>
      <w:pPr>
        <w:pStyle w:val="Normal"/>
        <w:widowControl/>
        <w:bidi w:val="0"/>
        <w:jc w:val="start"/>
        <w:rPr/>
      </w:pPr>
      <w:r>
        <w:rPr>
          <w:u w:val="double"/>
        </w:rPr>
        <w:t>Attention:    Thomas E. Tabor</w:t>
      </w:r>
    </w:p>
    <w:p>
      <w:pPr>
        <w:pStyle w:val="Normal"/>
        <w:widowControl/>
        <w:bidi w:val="0"/>
        <w:jc w:val="start"/>
        <w:rPr/>
      </w:pPr>
      <w:r>
        <w:rPr/>
      </w:r>
    </w:p>
    <w:p>
      <w:pPr>
        <w:pStyle w:val="Normal"/>
        <w:widowControl/>
        <w:tabs>
          <w:tab w:val="clear" w:pos="720"/>
          <w:tab w:val="left" w:pos="5400" w:leader="none"/>
        </w:tabs>
        <w:bidi w:val="0"/>
        <w:spacing w:before="0" w:after="480"/>
        <w:ind w:hanging="3600" w:start="3600"/>
        <w:jc w:val="start"/>
        <w:rPr/>
      </w:pPr>
      <w:r>
        <w:rPr/>
        <w:t>Facsimile: 212-815-5595</w:t>
        <w:tab/>
        <w:t>Our Reference:    Enron PATS 2000-1 Sterling–Dollar Swap</w:t>
      </w:r>
    </w:p>
    <w:p>
      <w:pPr>
        <w:pStyle w:val="BodyText"/>
        <w:widowControl/>
        <w:bidi w:val="0"/>
        <w:spacing w:before="0" w:after="480"/>
        <w:jc w:val="start"/>
        <w:rPr>
          <w:rFonts w:ascii="Times New Roman" w:hAnsi="Times New Roman"/>
          <w:b/>
        </w:rPr>
      </w:pPr>
      <w:r>
        <w:rPr>
          <w:b/>
        </w:rPr>
        <w:t>TRANSACTION (Swap 1 - U.S. Dollar to Sterling Swap between UBS and Trust)</w:t>
      </w:r>
    </w:p>
    <w:p>
      <w:pPr>
        <w:pStyle w:val="BodyTextFirstIndent"/>
        <w:widowControl/>
        <w:bidi w:val="0"/>
        <w:ind w:firstLine="720"/>
        <w:jc w:val="both"/>
        <w:rPr>
          <w:rFonts w:ascii="Times New Roman" w:hAnsi="Times New Roman"/>
        </w:rPr>
      </w:pPr>
      <w:r>
        <w:rPr/>
        <w:t xml:space="preserve">The purpose of this letter agreement is to confirm the terms and conditions of the Swap Transaction entered into between UBS AG, London Branch (“UBS”) and </w:t>
      </w:r>
      <w:r>
        <w:rPr>
          <w:strike/>
        </w:rPr>
        <w:t>The Bank of New York, as Trustee of</w:t>
      </w:r>
      <w:r>
        <w:rPr/>
        <w:t xml:space="preserve"> the Enron Pass-Through Asset Trust 2000-1 </w:t>
      </w:r>
      <w:r>
        <w:rPr>
          <w:u w:val="double"/>
        </w:rPr>
        <w:t>formed pursuant to the Trust Agreement specified herein</w:t>
      </w:r>
      <w:r>
        <w:rPr/>
        <w:t xml:space="preserve"> (“Counterparty”)</w:t>
      </w:r>
      <w:r>
        <w:rPr>
          <w:strike/>
        </w:rPr>
        <w:t>,</w:t>
      </w:r>
      <w:r>
        <w:rPr/>
        <w:t xml:space="preserve"> on the Trade Date specified below (the “Transaction”). This letter agreement constitutes a “Confirmation” as referred to in the Master Agreement specified below.</w:t>
      </w:r>
    </w:p>
    <w:p>
      <w:pPr>
        <w:pStyle w:val="BodyTextFirstIndent"/>
        <w:widowControl/>
        <w:bidi w:val="0"/>
        <w:ind w:firstLine="720"/>
        <w:jc w:val="both"/>
        <w:rPr>
          <w:rFonts w:ascii="Times New Roman" w:hAnsi="Times New Roman"/>
        </w:rPr>
      </w:pPr>
      <w:r>
        <w:rPr/>
        <w:t>The definitions and provisions contained in the 1991 ISDA Definitions (as supplemented by the 1998 Supplement), as published by the International Swaps and Derivatives Association, Inc. (formerly the International Swap Dealers Association, Inc.) (“ISDA”), are hereby incorporated into this Confirmation. Furthermore, the terms of the EMU Continuity Provision (as published by ISDA) also are hereby incorporated into this Confirmation. In the event of any inconsistency between those definitions and provisions and this Confirmation, this Confirmation will govern.</w:t>
      </w:r>
    </w:p>
    <w:p>
      <w:pPr>
        <w:pStyle w:val="BodyTextFirstIndent"/>
        <w:widowControl/>
        <w:bidi w:val="0"/>
        <w:ind w:firstLine="720"/>
        <w:jc w:val="both"/>
        <w:rPr>
          <w:rFonts w:ascii="Times New Roman" w:hAnsi="Times New Roman"/>
        </w:rPr>
      </w:pPr>
      <w:r>
        <w:rPr/>
        <w:t xml:space="preserve">This Confirmation constitutes a “Confirmation” as referred to in, and supplements, forms a part of and is subject to, the ISDA Master Agreement dated as of </w:t>
      </w:r>
      <w:r>
        <w:rPr>
          <w:strike/>
        </w:rPr>
        <w:t>the date hereof</w:t>
      </w:r>
      <w:r>
        <w:rPr/>
        <w:t xml:space="preserve"> </w:t>
      </w:r>
      <w:r>
        <w:rPr>
          <w:u w:val="double"/>
        </w:rPr>
        <w:t>June 1, 2000</w:t>
      </w:r>
      <w:r>
        <w:rPr/>
        <w:t>, as amended and supplemented from time to time (the “Master Agreement”), between you and us. All provisions contained in the Master Agreement govern this Confirmation except as expressly modified below.</w:t>
      </w:r>
    </w:p>
    <w:p>
      <w:pPr>
        <w:pStyle w:val="BodyTextFirstIndent"/>
        <w:keepNext w:val="true"/>
        <w:widowControl/>
        <w:bidi w:val="0"/>
        <w:ind w:firstLine="720"/>
        <w:jc w:val="both"/>
        <w:rPr>
          <w:rFonts w:ascii="Times New Roman" w:hAnsi="Times New Roman"/>
        </w:rPr>
      </w:pPr>
      <w:r>
        <w:rPr/>
        <w:t>The terms of the Transaction to which this Confirmation relates are as follows:</w:t>
      </w:r>
    </w:p>
    <w:tbl>
      <w:tblPr>
        <w:tblW w:w="9540" w:type="dxa"/>
        <w:jc w:val="start"/>
        <w:tblInd w:w="108" w:type="dxa"/>
        <w:tblLayout w:type="fixed"/>
        <w:tblCellMar>
          <w:top w:w="0" w:type="dxa"/>
          <w:start w:w="108" w:type="dxa"/>
          <w:bottom w:w="0" w:type="dxa"/>
          <w:end w:w="108" w:type="dxa"/>
        </w:tblCellMar>
      </w:tblPr>
      <w:tblGrid>
        <w:gridCol w:w="3600"/>
        <w:gridCol w:w="5939"/>
      </w:tblGrid>
      <w:tr>
        <w:trPr>
          <w:trHeight w:val="560" w:hRule="atLeast"/>
        </w:trPr>
        <w:tc>
          <w:tcPr>
            <w:tcW w:w="3600" w:type="dxa"/>
            <w:tcBorders/>
          </w:tcPr>
          <w:p>
            <w:pPr>
              <w:pStyle w:val="BodyText"/>
              <w:keepNext w:val="true"/>
              <w:widowControl/>
              <w:tabs>
                <w:tab w:val="clear" w:pos="720"/>
              </w:tabs>
              <w:bidi w:val="0"/>
              <w:spacing w:before="0" w:after="240"/>
              <w:ind w:hanging="720" w:start="720"/>
              <w:jc w:val="start"/>
              <w:rPr/>
            </w:pPr>
            <w:r>
              <w:rPr>
                <w:b/>
              </w:rPr>
              <w:t>1.</w:t>
              <w:tab/>
              <w:t>General Terms</w:t>
            </w:r>
          </w:p>
        </w:tc>
        <w:tc>
          <w:tcPr>
            <w:tcW w:w="5939" w:type="dxa"/>
            <w:tcBorders/>
          </w:tcPr>
          <w:p>
            <w:pPr>
              <w:pStyle w:val="BodyText"/>
              <w:keepNext w:val="true"/>
              <w:widowControl/>
              <w:tabs>
                <w:tab w:val="clear" w:pos="720"/>
              </w:tabs>
              <w:bidi w:val="0"/>
              <w:spacing w:before="0" w:after="240"/>
              <w:jc w:val="both"/>
              <w:rPr>
                <w:rFonts w:ascii="Times New Roman" w:hAnsi="Times New Roman"/>
              </w:rPr>
            </w:pPr>
            <w:r>
              <w:rPr/>
            </w:r>
          </w:p>
        </w:tc>
      </w:tr>
      <w:tr>
        <w:trPr>
          <w:trHeight w:val="480" w:hRule="atLeast"/>
        </w:trPr>
        <w:tc>
          <w:tcPr>
            <w:tcW w:w="3600" w:type="dxa"/>
            <w:tcBorders/>
          </w:tcPr>
          <w:p>
            <w:pPr>
              <w:pStyle w:val="BodyText"/>
              <w:widowControl/>
              <w:tabs>
                <w:tab w:val="clear" w:pos="720"/>
              </w:tabs>
              <w:bidi w:val="0"/>
              <w:spacing w:before="0" w:after="240"/>
              <w:ind w:hanging="0" w:start="720"/>
              <w:jc w:val="start"/>
              <w:rPr/>
            </w:pPr>
            <w:r>
              <w:rPr/>
              <w:t>Trade Date:</w:t>
            </w:r>
          </w:p>
        </w:tc>
        <w:tc>
          <w:tcPr>
            <w:tcW w:w="5939" w:type="dxa"/>
            <w:tcBorders/>
          </w:tcPr>
          <w:p>
            <w:pPr>
              <w:pStyle w:val="BodyText"/>
              <w:widowControl/>
              <w:tabs>
                <w:tab w:val="clear" w:pos="720"/>
              </w:tabs>
              <w:bidi w:val="0"/>
              <w:spacing w:before="0" w:after="240"/>
              <w:jc w:val="both"/>
              <w:rPr/>
            </w:pPr>
            <w:r>
              <w:rPr>
                <w:strike/>
              </w:rPr>
              <w:t>_______</w:t>
            </w:r>
            <w:r>
              <w:rPr>
                <w:u w:val="double"/>
              </w:rPr>
              <w:t>June __</w:t>
            </w:r>
            <w:r>
              <w:rPr/>
              <w:t>, 2000</w:t>
            </w:r>
          </w:p>
        </w:tc>
      </w:tr>
      <w:tr>
        <w:trPr>
          <w:trHeight w:val="440" w:hRule="atLeast"/>
        </w:trPr>
        <w:tc>
          <w:tcPr>
            <w:tcW w:w="3600" w:type="dxa"/>
            <w:tcBorders/>
          </w:tcPr>
          <w:p>
            <w:pPr>
              <w:pStyle w:val="BodyText"/>
              <w:widowControl/>
              <w:tabs>
                <w:tab w:val="clear" w:pos="720"/>
              </w:tabs>
              <w:bidi w:val="0"/>
              <w:spacing w:before="0" w:after="240"/>
              <w:ind w:hanging="0" w:start="720"/>
              <w:jc w:val="start"/>
              <w:rPr/>
            </w:pPr>
            <w:r>
              <w:rPr/>
              <w:t>Effective Date:</w:t>
            </w:r>
          </w:p>
        </w:tc>
        <w:tc>
          <w:tcPr>
            <w:tcW w:w="5939" w:type="dxa"/>
            <w:tcBorders/>
          </w:tcPr>
          <w:p>
            <w:pPr>
              <w:pStyle w:val="BodyText"/>
              <w:widowControl/>
              <w:tabs>
                <w:tab w:val="clear" w:pos="720"/>
              </w:tabs>
              <w:bidi w:val="0"/>
              <w:spacing w:before="0" w:after="240"/>
              <w:jc w:val="both"/>
              <w:rPr/>
            </w:pPr>
            <w:r>
              <w:rPr/>
              <w:t>The date of issuance of the Bonds</w:t>
            </w:r>
          </w:p>
        </w:tc>
      </w:tr>
      <w:tr>
        <w:trPr>
          <w:trHeight w:val="440" w:hRule="atLeast"/>
        </w:trPr>
        <w:tc>
          <w:tcPr>
            <w:tcW w:w="3600" w:type="dxa"/>
            <w:tcBorders/>
          </w:tcPr>
          <w:p>
            <w:pPr>
              <w:pStyle w:val="BodyText"/>
              <w:widowControl/>
              <w:bidi w:val="0"/>
              <w:spacing w:before="0" w:after="240"/>
              <w:ind w:hanging="0" w:start="720"/>
              <w:jc w:val="start"/>
              <w:rPr/>
            </w:pPr>
            <w:r>
              <w:rPr/>
              <w:t>Termination Date:</w:t>
            </w:r>
          </w:p>
        </w:tc>
        <w:tc>
          <w:tcPr>
            <w:tcW w:w="5939" w:type="dxa"/>
            <w:tcBorders/>
          </w:tcPr>
          <w:p>
            <w:pPr>
              <w:pStyle w:val="BodyText"/>
              <w:widowControl/>
              <w:bidi w:val="0"/>
              <w:spacing w:before="0" w:after="240"/>
              <w:jc w:val="both"/>
              <w:rPr/>
            </w:pPr>
            <w:r>
              <w:rPr>
                <w:strike/>
              </w:rPr>
              <w:t>________</w:t>
            </w:r>
            <w:r>
              <w:rPr>
                <w:u w:val="double"/>
              </w:rPr>
              <w:t>June 15, 2003</w:t>
            </w:r>
            <w:r>
              <w:rPr/>
              <w:t>, subject to adjustment in accordance with the Following Business Day Convention</w:t>
            </w:r>
          </w:p>
        </w:tc>
      </w:tr>
      <w:tr>
        <w:trPr>
          <w:trHeight w:val="440" w:hRule="atLeast"/>
        </w:trPr>
        <w:tc>
          <w:tcPr>
            <w:tcW w:w="3600" w:type="dxa"/>
            <w:tcBorders/>
          </w:tcPr>
          <w:p>
            <w:pPr>
              <w:pStyle w:val="BodyText"/>
              <w:keepNext w:val="true"/>
              <w:widowControl/>
              <w:bidi w:val="0"/>
              <w:spacing w:before="0" w:after="240"/>
              <w:jc w:val="start"/>
              <w:rPr/>
            </w:pPr>
            <w:r>
              <w:rPr/>
              <w:tab/>
              <w:t>Business Day:</w:t>
            </w:r>
          </w:p>
        </w:tc>
        <w:tc>
          <w:tcPr>
            <w:tcW w:w="5939" w:type="dxa"/>
            <w:tcBorders/>
          </w:tcPr>
          <w:p>
            <w:pPr>
              <w:pStyle w:val="BodyText"/>
              <w:widowControl/>
              <w:bidi w:val="0"/>
              <w:spacing w:before="0" w:after="240"/>
              <w:jc w:val="both"/>
              <w:rPr/>
            </w:pPr>
            <w:r>
              <w:rPr/>
              <w:t>New York and London</w:t>
            </w:r>
          </w:p>
        </w:tc>
      </w:tr>
      <w:tr>
        <w:trPr>
          <w:trHeight w:val="440" w:hRule="atLeast"/>
        </w:trPr>
        <w:tc>
          <w:tcPr>
            <w:tcW w:w="3600" w:type="dxa"/>
            <w:tcBorders/>
          </w:tcPr>
          <w:p>
            <w:pPr>
              <w:pStyle w:val="BodyText"/>
              <w:keepNext w:val="true"/>
              <w:widowControl/>
              <w:bidi w:val="0"/>
              <w:spacing w:before="0" w:after="240"/>
              <w:ind w:firstLine="702"/>
              <w:jc w:val="start"/>
              <w:rPr/>
            </w:pPr>
            <w:r>
              <w:rPr>
                <w:u w:val="double"/>
              </w:rPr>
              <w:t xml:space="preserve">Company </w:t>
            </w:r>
          </w:p>
        </w:tc>
        <w:tc>
          <w:tcPr>
            <w:tcW w:w="5939" w:type="dxa"/>
            <w:tcBorders/>
          </w:tcPr>
          <w:p>
            <w:pPr>
              <w:pStyle w:val="BodyText"/>
              <w:widowControl/>
              <w:bidi w:val="0"/>
              <w:spacing w:before="0" w:after="240"/>
              <w:jc w:val="both"/>
              <w:rPr/>
            </w:pPr>
            <w:r>
              <w:rPr>
                <w:u w:val="double"/>
              </w:rPr>
              <w:t>Enron Corp.</w:t>
            </w:r>
          </w:p>
        </w:tc>
      </w:tr>
      <w:tr>
        <w:trPr>
          <w:trHeight w:val="440" w:hRule="atLeast"/>
        </w:trPr>
        <w:tc>
          <w:tcPr>
            <w:tcW w:w="3600" w:type="dxa"/>
            <w:tcBorders/>
          </w:tcPr>
          <w:p>
            <w:pPr>
              <w:pStyle w:val="BodyText"/>
              <w:keepNext w:val="true"/>
              <w:widowControl/>
              <w:bidi w:val="0"/>
              <w:spacing w:before="0" w:after="240"/>
              <w:jc w:val="start"/>
              <w:rPr/>
            </w:pPr>
            <w:r>
              <w:rPr/>
              <w:tab/>
              <w:t>Indenture:</w:t>
            </w:r>
          </w:p>
        </w:tc>
        <w:tc>
          <w:tcPr>
            <w:tcW w:w="5939" w:type="dxa"/>
            <w:tcBorders/>
          </w:tcPr>
          <w:p>
            <w:pPr>
              <w:pStyle w:val="BodyText"/>
              <w:widowControl/>
              <w:bidi w:val="0"/>
              <w:spacing w:before="0" w:after="240"/>
              <w:jc w:val="both"/>
              <w:rPr/>
            </w:pPr>
            <w:r>
              <w:rPr/>
              <w:t xml:space="preserve">Indenture dated as of November 1, 1985, as supplemented from time to time, between </w:t>
            </w:r>
            <w:r>
              <w:rPr>
                <w:strike/>
              </w:rPr>
              <w:t>Enron Corp. (the “Company”)</w:t>
            </w:r>
            <w:r>
              <w:rPr/>
              <w:t xml:space="preserve"> </w:t>
            </w:r>
            <w:r>
              <w:rPr>
                <w:u w:val="double"/>
              </w:rPr>
              <w:t>the Company (formerly InterNorth, Inc.)</w:t>
            </w:r>
            <w:r>
              <w:rPr/>
              <w:t xml:space="preserve"> and The Bank of New York (as successor to Harris Trust and Savings Bank), as </w:t>
            </w:r>
            <w:r>
              <w:rPr>
                <w:strike/>
              </w:rPr>
              <w:t>trustee</w:t>
            </w:r>
            <w:r>
              <w:rPr/>
              <w:t xml:space="preserve"> </w:t>
            </w:r>
            <w:r>
              <w:rPr>
                <w:u w:val="double"/>
              </w:rPr>
              <w:t>Trustee</w:t>
            </w:r>
          </w:p>
        </w:tc>
      </w:tr>
      <w:tr>
        <w:trPr>
          <w:trHeight w:val="440" w:hRule="atLeast"/>
        </w:trPr>
        <w:tc>
          <w:tcPr>
            <w:tcW w:w="3600" w:type="dxa"/>
            <w:tcBorders/>
          </w:tcPr>
          <w:p>
            <w:pPr>
              <w:pStyle w:val="BodyText"/>
              <w:keepNext w:val="true"/>
              <w:widowControl/>
              <w:bidi w:val="0"/>
              <w:spacing w:before="0" w:after="240"/>
              <w:ind w:firstLine="772"/>
              <w:jc w:val="start"/>
              <w:rPr/>
            </w:pPr>
            <w:r>
              <w:rPr/>
              <w:t>Bonds</w:t>
            </w:r>
          </w:p>
        </w:tc>
        <w:tc>
          <w:tcPr>
            <w:tcW w:w="5939" w:type="dxa"/>
            <w:tcBorders/>
          </w:tcPr>
          <w:p>
            <w:pPr>
              <w:pStyle w:val="BodyText"/>
              <w:widowControl/>
              <w:bidi w:val="0"/>
              <w:spacing w:before="0" w:after="240"/>
              <w:jc w:val="both"/>
              <w:rPr/>
            </w:pPr>
            <w:r>
              <w:rPr/>
              <w:t xml:space="preserve">£__________ principal amount of the Company’s Reset Senior Notes Due </w:t>
            </w:r>
            <w:r>
              <w:rPr>
                <w:strike/>
              </w:rPr>
              <w:t>______</w:t>
            </w:r>
            <w:r>
              <w:rPr>
                <w:u w:val="double"/>
              </w:rPr>
              <w:t>June 15, 2028</w:t>
            </w:r>
            <w:r>
              <w:rPr/>
              <w:t xml:space="preserve"> issued under the Indenture</w:t>
            </w:r>
          </w:p>
        </w:tc>
      </w:tr>
      <w:tr>
        <w:trPr>
          <w:trHeight w:val="440" w:hRule="atLeast"/>
          <w:cantSplit w:val="true"/>
        </w:trPr>
        <w:tc>
          <w:tcPr>
            <w:tcW w:w="9539" w:type="dxa"/>
            <w:gridSpan w:val="2"/>
            <w:tcBorders/>
          </w:tcPr>
          <w:p>
            <w:pPr>
              <w:pStyle w:val="BodyText"/>
              <w:widowControl/>
              <w:tabs>
                <w:tab w:val="clear" w:pos="720"/>
              </w:tabs>
              <w:bidi w:val="0"/>
              <w:spacing w:before="0" w:after="240"/>
              <w:jc w:val="both"/>
              <w:rPr/>
            </w:pPr>
            <w:r>
              <w:rPr/>
              <w:t xml:space="preserve"> </w:t>
            </w:r>
            <w:r>
              <w:rPr>
                <w:strike/>
              </w:rPr>
              <w:t xml:space="preserve">Calculation Agent UBS, whose determinations and calculations shall be binding in the absence of manifest error </w:t>
            </w:r>
            <w:r>
              <w:rPr/>
              <w:t xml:space="preserve"> FIXED U.S. DOLLAR AMOUNTS</w:t>
            </w:r>
          </w:p>
        </w:tc>
      </w:tr>
      <w:tr>
        <w:trPr>
          <w:trHeight w:val="440" w:hRule="atLeast"/>
          <w:cantSplit w:val="true"/>
        </w:trPr>
        <w:tc>
          <w:tcPr>
            <w:tcW w:w="3600" w:type="dxa"/>
            <w:tcBorders/>
          </w:tcPr>
          <w:p>
            <w:pPr>
              <w:pStyle w:val="BodyText"/>
              <w:widowControl/>
              <w:tabs>
                <w:tab w:val="clear" w:pos="720"/>
              </w:tabs>
              <w:bidi w:val="0"/>
              <w:spacing w:before="0" w:after="240"/>
              <w:ind w:hanging="0" w:start="720"/>
              <w:jc w:val="start"/>
              <w:rPr/>
            </w:pPr>
            <w:r>
              <w:rPr/>
              <w:t>U.S. Dollar Payer:</w:t>
            </w:r>
          </w:p>
        </w:tc>
        <w:tc>
          <w:tcPr>
            <w:tcW w:w="5939" w:type="dxa"/>
            <w:tcBorders/>
          </w:tcPr>
          <w:p>
            <w:pPr>
              <w:pStyle w:val="BodyText"/>
              <w:widowControl/>
              <w:tabs>
                <w:tab w:val="clear" w:pos="720"/>
              </w:tabs>
              <w:bidi w:val="0"/>
              <w:spacing w:before="0" w:after="240"/>
              <w:jc w:val="both"/>
              <w:rPr/>
            </w:pPr>
            <w:r>
              <w:rPr/>
              <w:t>UBS</w:t>
            </w:r>
          </w:p>
        </w:tc>
      </w:tr>
      <w:tr>
        <w:trPr>
          <w:trHeight w:val="440" w:hRule="atLeast"/>
          <w:cantSplit w:val="true"/>
        </w:trPr>
        <w:tc>
          <w:tcPr>
            <w:tcW w:w="3600" w:type="dxa"/>
            <w:tcBorders/>
          </w:tcPr>
          <w:p>
            <w:pPr>
              <w:pStyle w:val="BodyText"/>
              <w:widowControl/>
              <w:bidi w:val="0"/>
              <w:spacing w:before="0" w:after="240"/>
              <w:ind w:hanging="0" w:start="720"/>
              <w:jc w:val="start"/>
              <w:rPr/>
            </w:pPr>
            <w:r>
              <w:rPr/>
              <w:t>U.S. Dollar Payer</w:t>
              <w:br/>
              <w:t>Notional Amount:</w:t>
            </w:r>
          </w:p>
        </w:tc>
        <w:tc>
          <w:tcPr>
            <w:tcW w:w="5939" w:type="dxa"/>
            <w:tcBorders/>
          </w:tcPr>
          <w:p>
            <w:pPr>
              <w:pStyle w:val="BodyText"/>
              <w:widowControl/>
              <w:bidi w:val="0"/>
              <w:spacing w:before="0" w:after="240"/>
              <w:jc w:val="both"/>
              <w:rPr/>
            </w:pPr>
            <w:r>
              <w:rPr/>
              <w:br/>
              <w:t>$[350,000,000]</w:t>
            </w:r>
          </w:p>
        </w:tc>
      </w:tr>
      <w:tr>
        <w:trPr>
          <w:trHeight w:val="440" w:hRule="atLeast"/>
          <w:cantSplit w:val="true"/>
        </w:trPr>
        <w:tc>
          <w:tcPr>
            <w:tcW w:w="3600" w:type="dxa"/>
            <w:tcBorders/>
          </w:tcPr>
          <w:p>
            <w:pPr>
              <w:pStyle w:val="BodyText"/>
              <w:widowControl/>
              <w:bidi w:val="0"/>
              <w:spacing w:before="0" w:after="240"/>
              <w:ind w:hanging="0" w:start="720"/>
              <w:jc w:val="start"/>
              <w:rPr/>
            </w:pPr>
            <w:r>
              <w:rPr/>
              <w:t>U.S. Dollar Payer</w:t>
              <w:br/>
              <w:t>Payment Dates:</w:t>
            </w:r>
          </w:p>
        </w:tc>
        <w:tc>
          <w:tcPr>
            <w:tcW w:w="5939" w:type="dxa"/>
            <w:tcBorders/>
          </w:tcPr>
          <w:p>
            <w:pPr>
              <w:pStyle w:val="BodyText"/>
              <w:widowControl/>
              <w:bidi w:val="0"/>
              <w:spacing w:before="0" w:after="240"/>
              <w:jc w:val="both"/>
              <w:rPr/>
            </w:pPr>
            <w:r>
              <w:rPr/>
              <w:br/>
              <w:t xml:space="preserve">The </w:t>
            </w:r>
            <w:r>
              <w:rPr>
                <w:strike/>
              </w:rPr>
              <w:t>_____</w:t>
            </w:r>
            <w:r>
              <w:rPr>
                <w:u w:val="double"/>
              </w:rPr>
              <w:t>15</w:t>
            </w:r>
            <w:r>
              <w:rPr>
                <w:u w:val="double"/>
                <w:vertAlign w:val="superscript"/>
              </w:rPr>
              <w:t>th</w:t>
            </w:r>
            <w:r>
              <w:rPr/>
              <w:t xml:space="preserve"> day of each </w:t>
            </w:r>
            <w:r>
              <w:rPr>
                <w:strike/>
              </w:rPr>
              <w:t>_____</w:t>
            </w:r>
            <w:r>
              <w:rPr>
                <w:u w:val="double"/>
              </w:rPr>
              <w:t>June</w:t>
            </w:r>
            <w:r>
              <w:rPr/>
              <w:t xml:space="preserve"> and </w:t>
            </w:r>
            <w:r>
              <w:rPr>
                <w:strike/>
              </w:rPr>
              <w:t>_____</w:t>
            </w:r>
            <w:r>
              <w:rPr>
                <w:u w:val="double"/>
              </w:rPr>
              <w:t>December</w:t>
            </w:r>
            <w:r>
              <w:rPr/>
              <w:t xml:space="preserve"> during the Term of the Transaction, commencing on </w:t>
            </w:r>
            <w:r>
              <w:rPr>
                <w:strike/>
              </w:rPr>
              <w:t>_____</w:t>
            </w:r>
            <w:r>
              <w:rPr>
                <w:u w:val="double"/>
              </w:rPr>
              <w:t>December 15</w:t>
            </w:r>
            <w:r>
              <w:rPr/>
              <w:t xml:space="preserve">, 2000, subject to adjustment in accordance with the Following Business Day Convention </w:t>
            </w:r>
          </w:p>
        </w:tc>
      </w:tr>
      <w:tr>
        <w:trPr>
          <w:trHeight w:val="440" w:hRule="atLeast"/>
          <w:cantSplit w:val="true"/>
        </w:trPr>
        <w:tc>
          <w:tcPr>
            <w:tcW w:w="3600" w:type="dxa"/>
            <w:tcBorders/>
          </w:tcPr>
          <w:p>
            <w:pPr>
              <w:pStyle w:val="BodyText"/>
              <w:widowControl/>
              <w:bidi w:val="0"/>
              <w:spacing w:before="0" w:after="240"/>
              <w:ind w:hanging="0" w:start="720"/>
              <w:jc w:val="start"/>
              <w:rPr/>
            </w:pPr>
            <w:r>
              <w:rPr/>
              <w:t>U.S. Dollar Fixed Rate:</w:t>
            </w:r>
          </w:p>
        </w:tc>
        <w:tc>
          <w:tcPr>
            <w:tcW w:w="5939" w:type="dxa"/>
            <w:tcBorders/>
          </w:tcPr>
          <w:p>
            <w:pPr>
              <w:pStyle w:val="BodyText"/>
              <w:widowControl/>
              <w:bidi w:val="0"/>
              <w:spacing w:before="0" w:after="240"/>
              <w:jc w:val="both"/>
              <w:rPr/>
            </w:pPr>
            <w:r>
              <w:rPr/>
              <w:t>___ % per annum</w:t>
            </w:r>
          </w:p>
        </w:tc>
      </w:tr>
      <w:tr>
        <w:trPr>
          <w:trHeight w:val="440" w:hRule="atLeast"/>
          <w:cantSplit w:val="true"/>
        </w:trPr>
        <w:tc>
          <w:tcPr>
            <w:tcW w:w="3600" w:type="dxa"/>
            <w:tcBorders/>
          </w:tcPr>
          <w:p>
            <w:pPr>
              <w:pStyle w:val="BodyText"/>
              <w:widowControl/>
              <w:bidi w:val="0"/>
              <w:spacing w:before="0" w:after="240"/>
              <w:ind w:hanging="0" w:start="720"/>
              <w:jc w:val="start"/>
              <w:rPr/>
            </w:pPr>
            <w:r>
              <w:rPr/>
              <w:t>U.S. Dollar Fixed Rate</w:t>
              <w:br/>
              <w:t>Day Count Fraction:</w:t>
            </w:r>
          </w:p>
        </w:tc>
        <w:tc>
          <w:tcPr>
            <w:tcW w:w="5939" w:type="dxa"/>
            <w:tcBorders/>
          </w:tcPr>
          <w:p>
            <w:pPr>
              <w:pStyle w:val="BodyText"/>
              <w:widowControl/>
              <w:bidi w:val="0"/>
              <w:spacing w:before="0" w:after="0"/>
              <w:jc w:val="both"/>
              <w:rPr>
                <w:rFonts w:ascii="Times New Roman" w:hAnsi="Times New Roman"/>
              </w:rPr>
            </w:pPr>
            <w:r>
              <w:rPr/>
            </w:r>
          </w:p>
          <w:p>
            <w:pPr>
              <w:pStyle w:val="BodyText"/>
              <w:widowControl/>
              <w:bidi w:val="0"/>
              <w:spacing w:before="0" w:after="240"/>
              <w:jc w:val="both"/>
              <w:rPr/>
            </w:pPr>
            <w:r>
              <w:rPr/>
              <w:t>30/360</w:t>
            </w:r>
          </w:p>
        </w:tc>
      </w:tr>
      <w:tr>
        <w:trPr>
          <w:trHeight w:val="440" w:hRule="atLeast"/>
          <w:cantSplit w:val="true"/>
        </w:trPr>
        <w:tc>
          <w:tcPr>
            <w:tcW w:w="3600" w:type="dxa"/>
            <w:tcBorders/>
          </w:tcPr>
          <w:p>
            <w:pPr>
              <w:pStyle w:val="BodyText"/>
              <w:keepNext w:val="true"/>
              <w:widowControl/>
              <w:bidi w:val="0"/>
              <w:spacing w:before="0" w:after="240"/>
              <w:jc w:val="start"/>
              <w:rPr/>
            </w:pPr>
            <w:r>
              <w:rPr/>
              <w:t>FIXED STERLING AMOUNTS</w:t>
            </w:r>
          </w:p>
        </w:tc>
        <w:tc>
          <w:tcPr>
            <w:tcW w:w="5939" w:type="dxa"/>
            <w:tcBorders/>
          </w:tcPr>
          <w:p>
            <w:pPr>
              <w:pStyle w:val="BodyText"/>
              <w:widowControl/>
              <w:bidi w:val="0"/>
              <w:spacing w:before="0" w:after="240"/>
              <w:jc w:val="both"/>
              <w:rPr>
                <w:rFonts w:ascii="Times New Roman" w:hAnsi="Times New Roman"/>
              </w:rPr>
            </w:pPr>
            <w:r>
              <w:rPr/>
            </w:r>
          </w:p>
        </w:tc>
      </w:tr>
      <w:tr>
        <w:trPr>
          <w:trHeight w:val="440" w:hRule="atLeast"/>
          <w:cantSplit w:val="true"/>
        </w:trPr>
        <w:tc>
          <w:tcPr>
            <w:tcW w:w="3600" w:type="dxa"/>
            <w:tcBorders/>
          </w:tcPr>
          <w:p>
            <w:pPr>
              <w:pStyle w:val="BodyText"/>
              <w:widowControl/>
              <w:bidi w:val="0"/>
              <w:spacing w:before="0" w:after="240"/>
              <w:ind w:hanging="0" w:start="720"/>
              <w:jc w:val="start"/>
              <w:rPr/>
            </w:pPr>
            <w:r>
              <w:rPr/>
              <w:t>Sterling Payer:</w:t>
            </w:r>
          </w:p>
        </w:tc>
        <w:tc>
          <w:tcPr>
            <w:tcW w:w="5939" w:type="dxa"/>
            <w:tcBorders/>
          </w:tcPr>
          <w:p>
            <w:pPr>
              <w:pStyle w:val="BodyText"/>
              <w:widowControl/>
              <w:bidi w:val="0"/>
              <w:spacing w:before="0" w:after="240"/>
              <w:jc w:val="both"/>
              <w:rPr/>
            </w:pPr>
            <w:r>
              <w:rPr/>
              <w:t>Counterparty</w:t>
            </w:r>
          </w:p>
        </w:tc>
      </w:tr>
      <w:tr>
        <w:trPr>
          <w:trHeight w:val="440" w:hRule="atLeast"/>
          <w:cantSplit w:val="true"/>
        </w:trPr>
        <w:tc>
          <w:tcPr>
            <w:tcW w:w="3600" w:type="dxa"/>
            <w:tcBorders/>
          </w:tcPr>
          <w:p>
            <w:pPr>
              <w:pStyle w:val="BodyText"/>
              <w:widowControl/>
              <w:bidi w:val="0"/>
              <w:spacing w:before="0" w:after="240"/>
              <w:ind w:hanging="0" w:start="720"/>
              <w:jc w:val="start"/>
              <w:rPr/>
            </w:pPr>
            <w:r>
              <w:rPr/>
              <w:t>Sterling Payer Notional</w:t>
              <w:br/>
              <w:t>Amount:</w:t>
            </w:r>
          </w:p>
        </w:tc>
        <w:tc>
          <w:tcPr>
            <w:tcW w:w="5939" w:type="dxa"/>
            <w:tcBorders/>
          </w:tcPr>
          <w:p>
            <w:pPr>
              <w:pStyle w:val="BodyText"/>
              <w:widowControl/>
              <w:bidi w:val="0"/>
              <w:spacing w:before="0" w:after="240"/>
              <w:jc w:val="both"/>
              <w:rPr/>
            </w:pPr>
            <w:r>
              <w:rPr/>
              <w:br/>
              <w:t>£___________</w:t>
            </w:r>
          </w:p>
        </w:tc>
      </w:tr>
      <w:tr>
        <w:trPr>
          <w:trHeight w:val="440" w:hRule="atLeast"/>
          <w:cantSplit w:val="true"/>
        </w:trPr>
        <w:tc>
          <w:tcPr>
            <w:tcW w:w="3600" w:type="dxa"/>
            <w:tcBorders/>
          </w:tcPr>
          <w:p>
            <w:pPr>
              <w:pStyle w:val="BodyText"/>
              <w:widowControl/>
              <w:bidi w:val="0"/>
              <w:spacing w:before="0" w:after="0"/>
              <w:ind w:hanging="0" w:start="720"/>
              <w:jc w:val="start"/>
              <w:rPr>
                <w:rFonts w:ascii="Times New Roman" w:hAnsi="Times New Roman"/>
              </w:rPr>
            </w:pPr>
            <w:r>
              <w:rPr/>
              <w:t>Sterling Payer Payment</w:t>
            </w:r>
          </w:p>
          <w:p>
            <w:pPr>
              <w:pStyle w:val="BodyText"/>
              <w:widowControl/>
              <w:bidi w:val="0"/>
              <w:spacing w:before="0" w:after="0"/>
              <w:ind w:hanging="0" w:start="720"/>
              <w:jc w:val="start"/>
              <w:rPr/>
            </w:pPr>
            <w:r>
              <w:rPr/>
              <w:t>Dates:</w:t>
            </w:r>
          </w:p>
        </w:tc>
        <w:tc>
          <w:tcPr>
            <w:tcW w:w="5939" w:type="dxa"/>
            <w:tcBorders/>
          </w:tcPr>
          <w:p>
            <w:pPr>
              <w:pStyle w:val="BodyText"/>
              <w:widowControl/>
              <w:bidi w:val="0"/>
              <w:spacing w:before="0" w:after="0"/>
              <w:jc w:val="both"/>
              <w:rPr>
                <w:rFonts w:ascii="Times New Roman" w:hAnsi="Times New Roman"/>
              </w:rPr>
            </w:pPr>
            <w:r>
              <w:rPr/>
            </w:r>
          </w:p>
          <w:p>
            <w:pPr>
              <w:pStyle w:val="BodyText"/>
              <w:widowControl/>
              <w:bidi w:val="0"/>
              <w:spacing w:before="0" w:after="240"/>
              <w:jc w:val="both"/>
              <w:rPr/>
            </w:pPr>
            <w:r>
              <w:rPr/>
              <w:t xml:space="preserve">The </w:t>
            </w:r>
            <w:r>
              <w:rPr>
                <w:strike/>
              </w:rPr>
              <w:t>___</w:t>
            </w:r>
            <w:r>
              <w:rPr>
                <w:u w:val="double"/>
              </w:rPr>
              <w:t>15</w:t>
            </w:r>
            <w:r>
              <w:rPr>
                <w:u w:val="double"/>
                <w:vertAlign w:val="superscript"/>
              </w:rPr>
              <w:t>th</w:t>
            </w:r>
            <w:r>
              <w:rPr/>
              <w:t xml:space="preserve"> day of each </w:t>
            </w:r>
            <w:r>
              <w:rPr>
                <w:strike/>
              </w:rPr>
              <w:t>_____</w:t>
            </w:r>
            <w:r>
              <w:rPr>
                <w:u w:val="double"/>
              </w:rPr>
              <w:t>June</w:t>
            </w:r>
            <w:r>
              <w:rPr/>
              <w:t xml:space="preserve"> and </w:t>
            </w:r>
            <w:r>
              <w:rPr>
                <w:strike/>
              </w:rPr>
              <w:t>_____</w:t>
            </w:r>
            <w:r>
              <w:rPr>
                <w:u w:val="double"/>
              </w:rPr>
              <w:t>December</w:t>
            </w:r>
            <w:r>
              <w:rPr/>
              <w:t xml:space="preserve"> during the Term of the Transaction, commencing on </w:t>
            </w:r>
            <w:r>
              <w:rPr>
                <w:strike/>
              </w:rPr>
              <w:t>_____</w:t>
            </w:r>
            <w:r>
              <w:rPr>
                <w:u w:val="double"/>
              </w:rPr>
              <w:t>December 15, 2000</w:t>
            </w:r>
            <w:r>
              <w:rPr/>
              <w:t>, subject to adjustment in accordance with the Following Business Day Convention</w:t>
            </w:r>
          </w:p>
        </w:tc>
      </w:tr>
      <w:tr>
        <w:trPr>
          <w:trHeight w:val="440" w:hRule="atLeast"/>
          <w:cantSplit w:val="true"/>
        </w:trPr>
        <w:tc>
          <w:tcPr>
            <w:tcW w:w="3600" w:type="dxa"/>
            <w:tcBorders/>
          </w:tcPr>
          <w:p>
            <w:pPr>
              <w:pStyle w:val="BodyText"/>
              <w:widowControl/>
              <w:bidi w:val="0"/>
              <w:spacing w:before="0" w:after="240"/>
              <w:ind w:hanging="0" w:start="720"/>
              <w:jc w:val="start"/>
              <w:rPr/>
            </w:pPr>
            <w:r>
              <w:rPr/>
              <w:t>Sterling Fixed Rate:</w:t>
            </w:r>
          </w:p>
        </w:tc>
        <w:tc>
          <w:tcPr>
            <w:tcW w:w="5939" w:type="dxa"/>
            <w:tcBorders/>
          </w:tcPr>
          <w:p>
            <w:pPr>
              <w:pStyle w:val="BodyText"/>
              <w:widowControl/>
              <w:bidi w:val="0"/>
              <w:spacing w:before="0" w:after="240"/>
              <w:jc w:val="both"/>
              <w:rPr/>
            </w:pPr>
            <w:r>
              <w:rPr/>
              <w:t>___% per annum</w:t>
            </w:r>
          </w:p>
        </w:tc>
      </w:tr>
      <w:tr>
        <w:trPr>
          <w:trHeight w:val="440" w:hRule="atLeast"/>
          <w:cantSplit w:val="true"/>
        </w:trPr>
        <w:tc>
          <w:tcPr>
            <w:tcW w:w="3600" w:type="dxa"/>
            <w:tcBorders/>
          </w:tcPr>
          <w:p>
            <w:pPr>
              <w:pStyle w:val="BodyText"/>
              <w:widowControl/>
              <w:bidi w:val="0"/>
              <w:spacing w:before="0" w:after="240"/>
              <w:ind w:hanging="0" w:start="720"/>
              <w:jc w:val="start"/>
              <w:rPr/>
            </w:pPr>
            <w:r>
              <w:rPr/>
              <w:t>Sterling Fixed Rate Day Count Fraction:</w:t>
            </w:r>
          </w:p>
        </w:tc>
        <w:tc>
          <w:tcPr>
            <w:tcW w:w="5939" w:type="dxa"/>
            <w:tcBorders/>
          </w:tcPr>
          <w:p>
            <w:pPr>
              <w:pStyle w:val="BodyText"/>
              <w:widowControl/>
              <w:bidi w:val="0"/>
              <w:spacing w:before="0" w:after="0"/>
              <w:jc w:val="both"/>
              <w:rPr>
                <w:rFonts w:ascii="Times New Roman" w:hAnsi="Times New Roman"/>
              </w:rPr>
            </w:pPr>
            <w:r>
              <w:rPr/>
            </w:r>
          </w:p>
          <w:p>
            <w:pPr>
              <w:pStyle w:val="BodyText"/>
              <w:widowControl/>
              <w:bidi w:val="0"/>
              <w:spacing w:before="0" w:after="240"/>
              <w:jc w:val="both"/>
              <w:rPr/>
            </w:pPr>
            <w:r>
              <w:rPr>
                <w:strike/>
              </w:rPr>
              <w:t>Actual/365</w:t>
            </w:r>
            <w:r>
              <w:rPr/>
              <w:t xml:space="preserve"> </w:t>
            </w:r>
            <w:r>
              <w:rPr>
                <w:u w:val="double"/>
              </w:rPr>
              <w:t>30/360</w:t>
            </w:r>
          </w:p>
        </w:tc>
      </w:tr>
      <w:tr>
        <w:trPr>
          <w:trHeight w:val="440" w:hRule="atLeast"/>
          <w:cantSplit w:val="true"/>
        </w:trPr>
        <w:tc>
          <w:tcPr>
            <w:tcW w:w="3600" w:type="dxa"/>
            <w:tcBorders/>
          </w:tcPr>
          <w:p>
            <w:pPr>
              <w:pStyle w:val="BodyText"/>
              <w:keepNext w:val="true"/>
              <w:widowControl/>
              <w:bidi w:val="0"/>
              <w:spacing w:before="0" w:after="240"/>
              <w:jc w:val="start"/>
              <w:rPr/>
            </w:pPr>
            <w:r>
              <w:rPr/>
              <w:t xml:space="preserve">INITIAL EXCHANGES </w:t>
            </w:r>
          </w:p>
        </w:tc>
        <w:tc>
          <w:tcPr>
            <w:tcW w:w="5939" w:type="dxa"/>
            <w:tcBorders/>
          </w:tcPr>
          <w:p>
            <w:pPr>
              <w:pStyle w:val="BodyText"/>
              <w:widowControl/>
              <w:bidi w:val="0"/>
              <w:spacing w:before="0" w:after="240"/>
              <w:jc w:val="both"/>
              <w:rPr>
                <w:rFonts w:ascii="Times New Roman" w:hAnsi="Times New Roman"/>
              </w:rPr>
            </w:pPr>
            <w:r>
              <w:rPr/>
            </w:r>
          </w:p>
        </w:tc>
      </w:tr>
      <w:tr>
        <w:trPr>
          <w:trHeight w:val="440" w:hRule="atLeast"/>
          <w:cantSplit w:val="true"/>
        </w:trPr>
        <w:tc>
          <w:tcPr>
            <w:tcW w:w="3600" w:type="dxa"/>
            <w:tcBorders/>
          </w:tcPr>
          <w:p>
            <w:pPr>
              <w:pStyle w:val="BodyText"/>
              <w:widowControl/>
              <w:bidi w:val="0"/>
              <w:spacing w:before="0" w:after="240"/>
              <w:ind w:hanging="0" w:start="720"/>
              <w:jc w:val="start"/>
              <w:rPr/>
            </w:pPr>
            <w:r>
              <w:rPr/>
              <w:t>Initial Exchange Date:</w:t>
            </w:r>
          </w:p>
        </w:tc>
        <w:tc>
          <w:tcPr>
            <w:tcW w:w="5939" w:type="dxa"/>
            <w:tcBorders/>
          </w:tcPr>
          <w:p>
            <w:pPr>
              <w:pStyle w:val="BodyText"/>
              <w:widowControl/>
              <w:bidi w:val="0"/>
              <w:spacing w:before="0" w:after="240"/>
              <w:jc w:val="both"/>
              <w:rPr/>
            </w:pPr>
            <w:r>
              <w:rPr/>
              <w:t>The date of issuance of the Bonds</w:t>
            </w:r>
          </w:p>
        </w:tc>
      </w:tr>
      <w:tr>
        <w:trPr>
          <w:trHeight w:val="440" w:hRule="atLeast"/>
          <w:cantSplit w:val="true"/>
        </w:trPr>
        <w:tc>
          <w:tcPr>
            <w:tcW w:w="3600" w:type="dxa"/>
            <w:tcBorders/>
          </w:tcPr>
          <w:p>
            <w:pPr>
              <w:pStyle w:val="BodyText"/>
              <w:widowControl/>
              <w:bidi w:val="0"/>
              <w:spacing w:before="0" w:after="240"/>
              <w:ind w:hanging="0" w:start="720"/>
              <w:jc w:val="start"/>
              <w:rPr/>
            </w:pPr>
            <w:r>
              <w:rPr/>
              <w:t>UBS Initial</w:t>
              <w:br/>
              <w:t>Exchange Currency Amount:</w:t>
            </w:r>
          </w:p>
        </w:tc>
        <w:tc>
          <w:tcPr>
            <w:tcW w:w="5939" w:type="dxa"/>
            <w:tcBorders/>
          </w:tcPr>
          <w:p>
            <w:pPr>
              <w:pStyle w:val="BodyText"/>
              <w:widowControl/>
              <w:bidi w:val="0"/>
              <w:spacing w:before="0" w:after="0"/>
              <w:jc w:val="both"/>
              <w:rPr>
                <w:rFonts w:ascii="Times New Roman" w:hAnsi="Times New Roman"/>
              </w:rPr>
            </w:pPr>
            <w:r>
              <w:rPr/>
              <w:br/>
            </w:r>
          </w:p>
          <w:p>
            <w:pPr>
              <w:pStyle w:val="BodyText"/>
              <w:widowControl/>
              <w:bidi w:val="0"/>
              <w:spacing w:before="0" w:after="0"/>
              <w:jc w:val="both"/>
              <w:rPr/>
            </w:pPr>
            <w:r>
              <w:rPr/>
              <w:t>£_________</w:t>
            </w:r>
          </w:p>
        </w:tc>
      </w:tr>
      <w:tr>
        <w:trPr>
          <w:trHeight w:val="440" w:hRule="atLeast"/>
          <w:cantSplit w:val="true"/>
        </w:trPr>
        <w:tc>
          <w:tcPr>
            <w:tcW w:w="3600" w:type="dxa"/>
            <w:tcBorders/>
          </w:tcPr>
          <w:p>
            <w:pPr>
              <w:pStyle w:val="BodyText"/>
              <w:widowControl/>
              <w:bidi w:val="0"/>
              <w:spacing w:before="0" w:after="240"/>
              <w:ind w:hanging="0" w:start="720"/>
              <w:jc w:val="start"/>
              <w:rPr/>
            </w:pPr>
            <w:r>
              <w:rPr/>
              <w:t>Counterparty Initial</w:t>
              <w:br/>
              <w:t>Exchange Currency Amount:</w:t>
            </w:r>
          </w:p>
        </w:tc>
        <w:tc>
          <w:tcPr>
            <w:tcW w:w="5939" w:type="dxa"/>
            <w:tcBorders/>
          </w:tcPr>
          <w:p>
            <w:pPr>
              <w:pStyle w:val="BodyText"/>
              <w:widowControl/>
              <w:bidi w:val="0"/>
              <w:spacing w:before="0" w:after="0"/>
              <w:jc w:val="both"/>
              <w:rPr>
                <w:rFonts w:ascii="Times New Roman" w:hAnsi="Times New Roman"/>
              </w:rPr>
            </w:pPr>
            <w:r>
              <w:rPr/>
              <w:br/>
            </w:r>
          </w:p>
          <w:p>
            <w:pPr>
              <w:pStyle w:val="BodyText"/>
              <w:widowControl/>
              <w:bidi w:val="0"/>
              <w:spacing w:before="0" w:after="0"/>
              <w:jc w:val="both"/>
              <w:rPr/>
            </w:pPr>
            <w:r>
              <w:rPr/>
              <w:t>$[350,000,000]</w:t>
            </w:r>
          </w:p>
        </w:tc>
      </w:tr>
      <w:tr>
        <w:trPr>
          <w:trHeight w:val="440" w:hRule="atLeast"/>
          <w:cantSplit w:val="true"/>
        </w:trPr>
        <w:tc>
          <w:tcPr>
            <w:tcW w:w="3600" w:type="dxa"/>
            <w:tcBorders/>
          </w:tcPr>
          <w:p>
            <w:pPr>
              <w:pStyle w:val="BodyText"/>
              <w:widowControl/>
              <w:bidi w:val="0"/>
              <w:spacing w:before="0" w:after="240"/>
              <w:jc w:val="start"/>
              <w:rPr/>
            </w:pPr>
            <w:r>
              <w:rPr/>
              <w:t xml:space="preserve">FINAL EXCHANGES </w:t>
            </w:r>
          </w:p>
        </w:tc>
        <w:tc>
          <w:tcPr>
            <w:tcW w:w="5939" w:type="dxa"/>
            <w:tcBorders/>
          </w:tcPr>
          <w:p>
            <w:pPr>
              <w:pStyle w:val="BodyText"/>
              <w:widowControl/>
              <w:bidi w:val="0"/>
              <w:spacing w:before="0" w:after="240"/>
              <w:jc w:val="both"/>
              <w:rPr>
                <w:rFonts w:ascii="Times New Roman" w:hAnsi="Times New Roman"/>
              </w:rPr>
            </w:pPr>
            <w:r>
              <w:rPr/>
            </w:r>
          </w:p>
        </w:tc>
      </w:tr>
      <w:tr>
        <w:trPr>
          <w:trHeight w:val="440" w:hRule="atLeast"/>
          <w:cantSplit w:val="true"/>
        </w:trPr>
        <w:tc>
          <w:tcPr>
            <w:tcW w:w="3600" w:type="dxa"/>
            <w:tcBorders/>
          </w:tcPr>
          <w:p>
            <w:pPr>
              <w:pStyle w:val="BodyText"/>
              <w:widowControl/>
              <w:bidi w:val="0"/>
              <w:spacing w:before="0" w:after="240"/>
              <w:ind w:hanging="0" w:start="720"/>
              <w:jc w:val="start"/>
              <w:rPr/>
            </w:pPr>
            <w:r>
              <w:rPr/>
              <w:t>Final Exchange Date:</w:t>
            </w:r>
          </w:p>
        </w:tc>
        <w:tc>
          <w:tcPr>
            <w:tcW w:w="5939" w:type="dxa"/>
            <w:tcBorders/>
          </w:tcPr>
          <w:p>
            <w:pPr>
              <w:pStyle w:val="BodyText"/>
              <w:widowControl/>
              <w:bidi w:val="0"/>
              <w:spacing w:before="0" w:after="240"/>
              <w:jc w:val="both"/>
              <w:rPr/>
            </w:pPr>
            <w:r>
              <w:rPr>
                <w:strike/>
              </w:rPr>
              <w:t>_________</w:t>
            </w:r>
            <w:r>
              <w:rPr>
                <w:u w:val="double"/>
              </w:rPr>
              <w:t>June 15, 2003</w:t>
            </w:r>
            <w:r>
              <w:rPr/>
              <w:t>, subject to adjustment in accordance with the Following Business Day Convention</w:t>
            </w:r>
          </w:p>
        </w:tc>
      </w:tr>
      <w:tr>
        <w:trPr>
          <w:trHeight w:val="440" w:hRule="atLeast"/>
          <w:cantSplit w:val="true"/>
        </w:trPr>
        <w:tc>
          <w:tcPr>
            <w:tcW w:w="3600" w:type="dxa"/>
            <w:tcBorders/>
          </w:tcPr>
          <w:p>
            <w:pPr>
              <w:pStyle w:val="BodyText"/>
              <w:widowControl/>
              <w:bidi w:val="0"/>
              <w:spacing w:before="0" w:after="240"/>
              <w:ind w:hanging="0" w:start="720"/>
              <w:jc w:val="start"/>
              <w:rPr/>
            </w:pPr>
            <w:r>
              <w:rPr/>
              <w:t>UBS Final</w:t>
              <w:br/>
              <w:t>Exchange Currency Amount:</w:t>
            </w:r>
          </w:p>
        </w:tc>
        <w:tc>
          <w:tcPr>
            <w:tcW w:w="5939" w:type="dxa"/>
            <w:tcBorders/>
          </w:tcPr>
          <w:p>
            <w:pPr>
              <w:pStyle w:val="BodyText"/>
              <w:widowControl/>
              <w:bidi w:val="0"/>
              <w:spacing w:before="0" w:after="0"/>
              <w:jc w:val="both"/>
              <w:rPr>
                <w:rFonts w:ascii="Times New Roman" w:hAnsi="Times New Roman"/>
              </w:rPr>
            </w:pPr>
            <w:r>
              <w:rPr/>
              <w:br/>
            </w:r>
          </w:p>
          <w:p>
            <w:pPr>
              <w:pStyle w:val="BodyText"/>
              <w:widowControl/>
              <w:bidi w:val="0"/>
              <w:spacing w:before="0" w:after="0"/>
              <w:jc w:val="both"/>
              <w:rPr/>
            </w:pPr>
            <w:r>
              <w:rPr/>
              <w:t>$[350,000,000]</w:t>
            </w:r>
          </w:p>
        </w:tc>
      </w:tr>
      <w:tr>
        <w:trPr>
          <w:trHeight w:val="440" w:hRule="atLeast"/>
          <w:cantSplit w:val="true"/>
        </w:trPr>
        <w:tc>
          <w:tcPr>
            <w:tcW w:w="3600" w:type="dxa"/>
            <w:tcBorders/>
          </w:tcPr>
          <w:p>
            <w:pPr>
              <w:pStyle w:val="BodyText"/>
              <w:widowControl/>
              <w:bidi w:val="0"/>
              <w:spacing w:before="0" w:after="240"/>
              <w:ind w:hanging="0" w:start="720"/>
              <w:jc w:val="start"/>
              <w:rPr/>
            </w:pPr>
            <w:r>
              <w:rPr/>
              <w:t>Counterparty Final</w:t>
              <w:br/>
              <w:t>Exchange Currency Amount:</w:t>
            </w:r>
          </w:p>
        </w:tc>
        <w:tc>
          <w:tcPr>
            <w:tcW w:w="5939" w:type="dxa"/>
            <w:tcBorders/>
          </w:tcPr>
          <w:p>
            <w:pPr>
              <w:pStyle w:val="BodyText"/>
              <w:widowControl/>
              <w:bidi w:val="0"/>
              <w:spacing w:before="0" w:after="0"/>
              <w:jc w:val="both"/>
              <w:rPr>
                <w:rFonts w:ascii="Times New Roman" w:hAnsi="Times New Roman"/>
              </w:rPr>
            </w:pPr>
            <w:r>
              <w:rPr/>
              <w:br/>
            </w:r>
          </w:p>
          <w:p>
            <w:pPr>
              <w:pStyle w:val="BodyText"/>
              <w:widowControl/>
              <w:bidi w:val="0"/>
              <w:spacing w:before="0" w:after="0"/>
              <w:jc w:val="both"/>
              <w:rPr/>
            </w:pPr>
            <w:r>
              <w:rPr/>
              <w:t>£__________</w:t>
            </w:r>
          </w:p>
        </w:tc>
      </w:tr>
      <w:tr>
        <w:trPr>
          <w:trHeight w:val="440" w:hRule="atLeast"/>
          <w:cantSplit w:val="true"/>
        </w:trPr>
        <w:tc>
          <w:tcPr>
            <w:tcW w:w="3600" w:type="dxa"/>
            <w:tcBorders/>
          </w:tcPr>
          <w:p>
            <w:pPr>
              <w:pStyle w:val="BodyText"/>
              <w:widowControl/>
              <w:bidi w:val="0"/>
              <w:spacing w:before="0" w:after="240"/>
              <w:jc w:val="start"/>
              <w:rPr/>
            </w:pPr>
            <w:r>
              <w:rPr>
                <w:b/>
              </w:rPr>
              <w:t>2.</w:t>
              <w:tab/>
              <w:t>Account Details</w:t>
            </w:r>
          </w:p>
        </w:tc>
        <w:tc>
          <w:tcPr>
            <w:tcW w:w="5939" w:type="dxa"/>
            <w:tcBorders/>
          </w:tcPr>
          <w:p>
            <w:pPr>
              <w:pStyle w:val="BodyText"/>
              <w:widowControl/>
              <w:bidi w:val="0"/>
              <w:spacing w:before="0" w:after="240"/>
              <w:jc w:val="both"/>
              <w:rPr>
                <w:rFonts w:ascii="Times New Roman" w:hAnsi="Times New Roman"/>
              </w:rPr>
            </w:pPr>
            <w:r>
              <w:rPr/>
            </w:r>
          </w:p>
        </w:tc>
      </w:tr>
      <w:tr>
        <w:trPr>
          <w:trHeight w:val="440" w:hRule="atLeast"/>
          <w:cantSplit w:val="true"/>
        </w:trPr>
        <w:tc>
          <w:tcPr>
            <w:tcW w:w="9539" w:type="dxa"/>
            <w:gridSpan w:val="2"/>
            <w:tcBorders/>
          </w:tcPr>
          <w:p>
            <w:pPr>
              <w:pStyle w:val="BodyText"/>
              <w:widowControl/>
              <w:tabs>
                <w:tab w:val="clear" w:pos="720"/>
              </w:tabs>
              <w:bidi w:val="0"/>
              <w:spacing w:before="0" w:after="0"/>
              <w:ind w:hanging="0" w:start="720"/>
              <w:jc w:val="start"/>
              <w:rPr>
                <w:rFonts w:ascii="Times New Roman" w:hAnsi="Times New Roman"/>
              </w:rPr>
            </w:pPr>
            <w:r>
              <w:rPr/>
              <w:t>Account Details of UBS:</w:t>
            </w:r>
          </w:p>
          <w:p>
            <w:pPr>
              <w:pStyle w:val="BodyText"/>
              <w:widowControl/>
              <w:tabs>
                <w:tab w:val="clear" w:pos="720"/>
              </w:tabs>
              <w:bidi w:val="0"/>
              <w:spacing w:before="0" w:after="0"/>
              <w:ind w:hanging="0" w:start="720"/>
              <w:jc w:val="start"/>
              <w:rPr>
                <w:rFonts w:ascii="Times New Roman" w:hAnsi="Times New Roman"/>
              </w:rPr>
            </w:pPr>
            <w:r>
              <w:rPr/>
              <w:t xml:space="preserve"> </w:t>
            </w:r>
          </w:p>
          <w:p>
            <w:pPr>
              <w:pStyle w:val="BodyText"/>
              <w:widowControl/>
              <w:tabs>
                <w:tab w:val="clear" w:pos="720"/>
              </w:tabs>
              <w:bidi w:val="0"/>
              <w:spacing w:before="0" w:after="0"/>
              <w:ind w:hanging="0" w:start="1080"/>
              <w:jc w:val="both"/>
              <w:rPr/>
            </w:pPr>
            <w:r>
              <w:rPr/>
              <w:t>Sterling Payment Instructions:</w:t>
            </w:r>
          </w:p>
        </w:tc>
      </w:tr>
      <w:tr>
        <w:trPr>
          <w:trHeight w:val="440" w:hRule="atLeast"/>
          <w:cantSplit w:val="true"/>
        </w:trPr>
        <w:tc>
          <w:tcPr>
            <w:tcW w:w="3600" w:type="dxa"/>
            <w:tcBorders/>
          </w:tcPr>
          <w:p>
            <w:pPr>
              <w:pStyle w:val="BodyText"/>
              <w:widowControl/>
              <w:tabs>
                <w:tab w:val="clear" w:pos="720"/>
              </w:tabs>
              <w:bidi w:val="0"/>
              <w:spacing w:before="0" w:after="0"/>
              <w:ind w:hanging="0" w:start="1080"/>
              <w:jc w:val="start"/>
              <w:rPr>
                <w:rFonts w:ascii="Times New Roman" w:hAnsi="Times New Roman"/>
              </w:rPr>
            </w:pPr>
            <w:r>
              <w:rPr/>
            </w:r>
          </w:p>
          <w:p>
            <w:pPr>
              <w:pStyle w:val="BodyText"/>
              <w:widowControl/>
              <w:tabs>
                <w:tab w:val="clear" w:pos="720"/>
              </w:tabs>
              <w:bidi w:val="0"/>
              <w:spacing w:before="0" w:after="0"/>
              <w:ind w:hanging="0" w:start="1080"/>
              <w:jc w:val="start"/>
              <w:rPr>
                <w:rFonts w:ascii="Times New Roman" w:hAnsi="Times New Roman"/>
              </w:rPr>
            </w:pPr>
            <w:r>
              <w:rPr/>
              <w:t>Correspondent Bank:</w:t>
            </w:r>
          </w:p>
          <w:p>
            <w:pPr>
              <w:pStyle w:val="BodyText"/>
              <w:widowControl/>
              <w:tabs>
                <w:tab w:val="clear" w:pos="720"/>
              </w:tabs>
              <w:bidi w:val="0"/>
              <w:spacing w:before="0" w:after="0"/>
              <w:ind w:hanging="0" w:start="1080"/>
              <w:jc w:val="start"/>
              <w:rPr>
                <w:rFonts w:ascii="Times New Roman" w:hAnsi="Times New Roman"/>
              </w:rPr>
            </w:pPr>
            <w:r>
              <w:rPr/>
              <w:t>Swift Address:</w:t>
            </w:r>
          </w:p>
          <w:p>
            <w:pPr>
              <w:pStyle w:val="BodyText"/>
              <w:widowControl/>
              <w:tabs>
                <w:tab w:val="clear" w:pos="720"/>
              </w:tabs>
              <w:bidi w:val="0"/>
              <w:spacing w:before="0" w:after="240"/>
              <w:ind w:hanging="0" w:start="1080"/>
              <w:jc w:val="start"/>
              <w:rPr/>
            </w:pPr>
            <w:r>
              <w:rPr/>
              <w:t>Favour:</w:t>
            </w:r>
          </w:p>
        </w:tc>
        <w:tc>
          <w:tcPr>
            <w:tcW w:w="5939" w:type="dxa"/>
            <w:tcBorders/>
          </w:tcPr>
          <w:p>
            <w:pPr>
              <w:pStyle w:val="BodyText"/>
              <w:widowControl/>
              <w:tabs>
                <w:tab w:val="clear" w:pos="720"/>
              </w:tabs>
              <w:bidi w:val="0"/>
              <w:spacing w:before="0" w:after="0"/>
              <w:jc w:val="both"/>
              <w:rPr>
                <w:rFonts w:ascii="Times New Roman" w:hAnsi="Times New Roman"/>
              </w:rPr>
            </w:pPr>
            <w:r>
              <w:rPr/>
              <w:br/>
              <w:t>Direct via UK Clearing, Chaps. Sort Code: 23-23-23</w:t>
            </w:r>
          </w:p>
          <w:p>
            <w:pPr>
              <w:pStyle w:val="BodyText"/>
              <w:widowControl/>
              <w:tabs>
                <w:tab w:val="clear" w:pos="720"/>
              </w:tabs>
              <w:bidi w:val="0"/>
              <w:spacing w:before="0" w:after="0"/>
              <w:jc w:val="both"/>
              <w:rPr>
                <w:rFonts w:ascii="Times New Roman" w:hAnsi="Times New Roman"/>
              </w:rPr>
            </w:pPr>
            <w:r>
              <w:rPr/>
              <w:t>UBSWGB2LXXX</w:t>
            </w:r>
          </w:p>
          <w:p>
            <w:pPr>
              <w:pStyle w:val="BodyText"/>
              <w:widowControl/>
              <w:tabs>
                <w:tab w:val="clear" w:pos="720"/>
              </w:tabs>
              <w:bidi w:val="0"/>
              <w:spacing w:before="0" w:after="0"/>
              <w:jc w:val="both"/>
              <w:rPr/>
            </w:pPr>
            <w:r>
              <w:rPr/>
              <w:t>UBS AG, London Branch</w:t>
            </w:r>
          </w:p>
        </w:tc>
      </w:tr>
      <w:tr>
        <w:trPr>
          <w:trHeight w:val="440" w:hRule="atLeast"/>
          <w:cantSplit w:val="true"/>
        </w:trPr>
        <w:tc>
          <w:tcPr>
            <w:tcW w:w="9539" w:type="dxa"/>
            <w:gridSpan w:val="2"/>
            <w:tcBorders/>
          </w:tcPr>
          <w:p>
            <w:pPr>
              <w:pStyle w:val="BodyText"/>
              <w:keepNext w:val="true"/>
              <w:widowControl/>
              <w:tabs>
                <w:tab w:val="clear" w:pos="720"/>
              </w:tabs>
              <w:bidi w:val="0"/>
              <w:spacing w:before="0" w:after="240"/>
              <w:ind w:hanging="0" w:start="1080"/>
              <w:jc w:val="both"/>
              <w:rPr/>
            </w:pPr>
            <w:r>
              <w:rPr/>
              <w:t>U.S. Dollar Payment Instructions:</w:t>
            </w:r>
          </w:p>
        </w:tc>
      </w:tr>
      <w:tr>
        <w:trPr>
          <w:cantSplit w:val="true"/>
        </w:trPr>
        <w:tc>
          <w:tcPr>
            <w:tcW w:w="3600" w:type="dxa"/>
            <w:tcBorders/>
          </w:tcPr>
          <w:p>
            <w:pPr>
              <w:pStyle w:val="Normal"/>
              <w:keepNext w:val="true"/>
              <w:widowControl/>
              <w:tabs>
                <w:tab w:val="clear" w:pos="720"/>
              </w:tabs>
              <w:bidi w:val="0"/>
              <w:ind w:hanging="0" w:start="1080"/>
              <w:jc w:val="start"/>
              <w:rPr/>
            </w:pPr>
            <w:r>
              <w:rPr/>
              <w:t xml:space="preserve"> </w:t>
            </w:r>
            <w:r>
              <w:rPr/>
              <w:t>Bank:</w:t>
            </w:r>
          </w:p>
          <w:p>
            <w:pPr>
              <w:pStyle w:val="Normal"/>
              <w:keepNext w:val="true"/>
              <w:widowControl/>
              <w:tabs>
                <w:tab w:val="clear" w:pos="720"/>
              </w:tabs>
              <w:bidi w:val="0"/>
              <w:ind w:hanging="0" w:start="1080"/>
              <w:jc w:val="start"/>
              <w:rPr/>
            </w:pPr>
            <w:r>
              <w:rPr/>
              <w:t xml:space="preserve"> </w:t>
            </w:r>
            <w:r>
              <w:rPr/>
              <w:t>ABA Number:</w:t>
            </w:r>
          </w:p>
          <w:p>
            <w:pPr>
              <w:pStyle w:val="Normal"/>
              <w:keepNext w:val="true"/>
              <w:widowControl/>
              <w:tabs>
                <w:tab w:val="clear" w:pos="720"/>
              </w:tabs>
              <w:bidi w:val="0"/>
              <w:ind w:hanging="0" w:start="1080"/>
              <w:jc w:val="start"/>
              <w:rPr/>
            </w:pPr>
            <w:r>
              <w:rPr/>
              <w:t xml:space="preserve"> </w:t>
            </w:r>
            <w:r>
              <w:rPr/>
              <w:t>Account Name:</w:t>
            </w:r>
          </w:p>
          <w:p>
            <w:pPr>
              <w:pStyle w:val="Normal"/>
              <w:keepNext w:val="true"/>
              <w:widowControl/>
              <w:tabs>
                <w:tab w:val="clear" w:pos="720"/>
              </w:tabs>
              <w:bidi w:val="0"/>
              <w:ind w:hanging="0" w:start="1080"/>
              <w:jc w:val="start"/>
              <w:rPr/>
            </w:pPr>
            <w:r>
              <w:rPr/>
              <w:t xml:space="preserve"> </w:t>
            </w:r>
            <w:r>
              <w:rPr/>
              <w:t>Account Number:</w:t>
            </w:r>
          </w:p>
        </w:tc>
        <w:tc>
          <w:tcPr>
            <w:tcW w:w="5939" w:type="dxa"/>
            <w:tcBorders/>
          </w:tcPr>
          <w:p>
            <w:pPr>
              <w:pStyle w:val="BodyText"/>
              <w:keepNext w:val="true"/>
              <w:widowControl/>
              <w:tabs>
                <w:tab w:val="clear" w:pos="720"/>
              </w:tabs>
              <w:bidi w:val="0"/>
              <w:spacing w:before="0" w:after="0"/>
              <w:jc w:val="both"/>
              <w:rPr>
                <w:rFonts w:ascii="Times New Roman" w:hAnsi="Times New Roman"/>
              </w:rPr>
            </w:pPr>
            <w:r>
              <w:rPr/>
              <w:t>UBS AG, Stamford</w:t>
            </w:r>
          </w:p>
          <w:p>
            <w:pPr>
              <w:pStyle w:val="BodyText"/>
              <w:keepNext w:val="true"/>
              <w:widowControl/>
              <w:tabs>
                <w:tab w:val="clear" w:pos="720"/>
              </w:tabs>
              <w:bidi w:val="0"/>
              <w:spacing w:before="0" w:after="0"/>
              <w:jc w:val="both"/>
              <w:rPr>
                <w:rFonts w:ascii="Times New Roman" w:hAnsi="Times New Roman"/>
              </w:rPr>
            </w:pPr>
            <w:r>
              <w:rPr/>
              <w:t>026-007-993</w:t>
            </w:r>
          </w:p>
          <w:p>
            <w:pPr>
              <w:pStyle w:val="BodyText"/>
              <w:keepNext w:val="true"/>
              <w:widowControl/>
              <w:tabs>
                <w:tab w:val="clear" w:pos="720"/>
              </w:tabs>
              <w:bidi w:val="0"/>
              <w:spacing w:before="0" w:after="0"/>
              <w:jc w:val="both"/>
              <w:rPr>
                <w:rFonts w:ascii="Times New Roman" w:hAnsi="Times New Roman"/>
              </w:rPr>
            </w:pPr>
            <w:r>
              <w:rPr/>
              <w:t>UBS AG, London</w:t>
            </w:r>
          </w:p>
          <w:p>
            <w:pPr>
              <w:pStyle w:val="BodyText"/>
              <w:keepNext w:val="true"/>
              <w:widowControl/>
              <w:tabs>
                <w:tab w:val="clear" w:pos="720"/>
              </w:tabs>
              <w:bidi w:val="0"/>
              <w:spacing w:before="0" w:after="0"/>
              <w:jc w:val="both"/>
              <w:rPr>
                <w:rFonts w:ascii="Times New Roman" w:hAnsi="Times New Roman"/>
              </w:rPr>
            </w:pPr>
            <w:r>
              <w:rPr/>
              <w:t>__________</w:t>
            </w:r>
          </w:p>
          <w:p>
            <w:pPr>
              <w:pStyle w:val="BodyText"/>
              <w:keepNext w:val="true"/>
              <w:widowControl/>
              <w:tabs>
                <w:tab w:val="clear" w:pos="720"/>
              </w:tabs>
              <w:bidi w:val="0"/>
              <w:spacing w:before="0" w:after="0"/>
              <w:jc w:val="both"/>
              <w:rPr>
                <w:rFonts w:ascii="Times New Roman" w:hAnsi="Times New Roman"/>
              </w:rPr>
            </w:pPr>
            <w:r>
              <w:rPr/>
            </w:r>
          </w:p>
        </w:tc>
      </w:tr>
      <w:tr>
        <w:trPr>
          <w:trHeight w:val="1097" w:hRule="atLeast"/>
          <w:cantSplit w:val="true"/>
        </w:trPr>
        <w:tc>
          <w:tcPr>
            <w:tcW w:w="9539" w:type="dxa"/>
            <w:gridSpan w:val="2"/>
            <w:tcBorders/>
          </w:tcPr>
          <w:p>
            <w:pPr>
              <w:pStyle w:val="StayWithBTI2"/>
              <w:widowControl/>
              <w:tabs>
                <w:tab w:val="clear" w:pos="720"/>
              </w:tabs>
              <w:bidi w:val="0"/>
              <w:jc w:val="start"/>
              <w:rPr>
                <w:rFonts w:ascii="Times New Roman" w:hAnsi="Times New Roman"/>
              </w:rPr>
            </w:pPr>
            <w:r>
              <w:rPr/>
              <w:t>Account Details of Counterparty:</w:t>
              <w:br/>
            </w:r>
          </w:p>
          <w:p>
            <w:pPr>
              <w:pStyle w:val="Normal"/>
              <w:widowControl/>
              <w:tabs>
                <w:tab w:val="clear" w:pos="720"/>
              </w:tabs>
              <w:bidi w:val="0"/>
              <w:ind w:hanging="0" w:start="1080"/>
              <w:jc w:val="both"/>
              <w:rPr/>
            </w:pPr>
            <w:r>
              <w:rPr/>
              <w:t>Sterling Payment Instructions:</w:t>
            </w:r>
          </w:p>
        </w:tc>
      </w:tr>
      <w:tr>
        <w:trPr>
          <w:trHeight w:val="1646" w:hRule="atLeast"/>
          <w:cantSplit w:val="true"/>
        </w:trPr>
        <w:tc>
          <w:tcPr>
            <w:tcW w:w="3600" w:type="dxa"/>
            <w:tcBorders/>
          </w:tcPr>
          <w:p>
            <w:pPr>
              <w:pStyle w:val="Normal"/>
              <w:widowControl/>
              <w:tabs>
                <w:tab w:val="clear" w:pos="720"/>
              </w:tabs>
              <w:bidi w:val="0"/>
              <w:ind w:hanging="0" w:start="1080"/>
              <w:jc w:val="start"/>
              <w:rPr/>
            </w:pPr>
            <w:r>
              <w:rPr/>
              <w:t>Bank:</w:t>
            </w:r>
          </w:p>
          <w:p>
            <w:pPr>
              <w:pStyle w:val="Normal"/>
              <w:widowControl/>
              <w:tabs>
                <w:tab w:val="clear" w:pos="720"/>
              </w:tabs>
              <w:bidi w:val="0"/>
              <w:ind w:hanging="0" w:start="1080"/>
              <w:jc w:val="start"/>
              <w:rPr/>
            </w:pPr>
            <w:r>
              <w:rPr/>
              <w:t>Sort Code:</w:t>
            </w:r>
          </w:p>
          <w:p>
            <w:pPr>
              <w:pStyle w:val="Normal"/>
              <w:widowControl/>
              <w:tabs>
                <w:tab w:val="clear" w:pos="720"/>
              </w:tabs>
              <w:bidi w:val="0"/>
              <w:ind w:hanging="0" w:start="1080"/>
              <w:jc w:val="start"/>
              <w:rPr/>
            </w:pPr>
            <w:r>
              <w:rPr/>
              <w:t>Account No.:</w:t>
            </w:r>
          </w:p>
          <w:p>
            <w:pPr>
              <w:pStyle w:val="Normal"/>
              <w:widowControl/>
              <w:tabs>
                <w:tab w:val="clear" w:pos="720"/>
              </w:tabs>
              <w:bidi w:val="0"/>
              <w:ind w:hanging="0" w:start="1080"/>
              <w:jc w:val="start"/>
              <w:rPr/>
            </w:pPr>
            <w:r>
              <w:rPr/>
              <w:t>Account Name:</w:t>
            </w:r>
          </w:p>
          <w:p>
            <w:pPr>
              <w:pStyle w:val="Normal"/>
              <w:widowControl/>
              <w:tabs>
                <w:tab w:val="clear" w:pos="720"/>
              </w:tabs>
              <w:bidi w:val="0"/>
              <w:ind w:hanging="0" w:start="1080"/>
              <w:jc w:val="start"/>
              <w:rPr/>
            </w:pPr>
            <w:r>
              <w:rPr/>
            </w:r>
          </w:p>
        </w:tc>
        <w:tc>
          <w:tcPr>
            <w:tcW w:w="5939" w:type="dxa"/>
            <w:tcBorders/>
          </w:tcPr>
          <w:p>
            <w:pPr>
              <w:pStyle w:val="Normal"/>
              <w:widowControl/>
              <w:tabs>
                <w:tab w:val="clear" w:pos="720"/>
              </w:tabs>
              <w:bidi w:val="0"/>
              <w:jc w:val="both"/>
              <w:rPr/>
            </w:pPr>
            <w:r>
              <w:rPr/>
              <w:t>National Westminster Bank, London</w:t>
            </w:r>
          </w:p>
          <w:p>
            <w:pPr>
              <w:pStyle w:val="Normal"/>
              <w:widowControl/>
              <w:tabs>
                <w:tab w:val="clear" w:pos="720"/>
              </w:tabs>
              <w:bidi w:val="0"/>
              <w:jc w:val="both"/>
              <w:rPr/>
            </w:pPr>
            <w:r>
              <w:rPr/>
              <w:t>70-02-25</w:t>
            </w:r>
          </w:p>
          <w:p>
            <w:pPr>
              <w:pStyle w:val="Normal"/>
              <w:widowControl/>
              <w:tabs>
                <w:tab w:val="clear" w:pos="720"/>
              </w:tabs>
              <w:bidi w:val="0"/>
              <w:jc w:val="both"/>
              <w:rPr/>
            </w:pPr>
            <w:r>
              <w:rPr/>
              <w:t>95694137</w:t>
            </w:r>
          </w:p>
          <w:p>
            <w:pPr>
              <w:pStyle w:val="Normal"/>
              <w:widowControl/>
              <w:tabs>
                <w:tab w:val="clear" w:pos="720"/>
              </w:tabs>
              <w:bidi w:val="0"/>
              <w:jc w:val="both"/>
              <w:rPr/>
            </w:pPr>
            <w:r>
              <w:rPr/>
              <w:t>The Bank of New York, London for further credit to A/C# _________</w:t>
            </w:r>
          </w:p>
        </w:tc>
      </w:tr>
      <w:tr>
        <w:trPr>
          <w:cantSplit w:val="true"/>
        </w:trPr>
        <w:tc>
          <w:tcPr>
            <w:tcW w:w="9539" w:type="dxa"/>
            <w:gridSpan w:val="2"/>
            <w:tcBorders/>
          </w:tcPr>
          <w:p>
            <w:pPr>
              <w:pStyle w:val="Normal"/>
              <w:widowControl/>
              <w:tabs>
                <w:tab w:val="clear" w:pos="720"/>
              </w:tabs>
              <w:bidi w:val="0"/>
              <w:ind w:hanging="0" w:start="1080"/>
              <w:jc w:val="both"/>
              <w:rPr/>
            </w:pPr>
            <w:r>
              <w:rPr/>
              <w:t>Dollar Payment Instructions:</w:t>
            </w:r>
          </w:p>
          <w:p>
            <w:pPr>
              <w:pStyle w:val="Normal"/>
              <w:widowControl/>
              <w:tabs>
                <w:tab w:val="clear" w:pos="720"/>
              </w:tabs>
              <w:bidi w:val="0"/>
              <w:jc w:val="both"/>
              <w:rPr/>
            </w:pPr>
            <w:r>
              <w:rPr/>
            </w:r>
          </w:p>
        </w:tc>
      </w:tr>
      <w:tr>
        <w:trPr>
          <w:trHeight w:val="1371" w:hRule="atLeast"/>
          <w:cantSplit w:val="true"/>
        </w:trPr>
        <w:tc>
          <w:tcPr>
            <w:tcW w:w="3600" w:type="dxa"/>
            <w:tcBorders/>
          </w:tcPr>
          <w:p>
            <w:pPr>
              <w:pStyle w:val="Normal"/>
              <w:widowControl/>
              <w:tabs>
                <w:tab w:val="clear" w:pos="720"/>
              </w:tabs>
              <w:bidi w:val="0"/>
              <w:ind w:hanging="0" w:start="1080"/>
              <w:jc w:val="start"/>
              <w:rPr/>
            </w:pPr>
            <w:r>
              <w:rPr/>
              <w:t xml:space="preserve">Bank: </w:t>
            </w:r>
          </w:p>
          <w:p>
            <w:pPr>
              <w:pStyle w:val="Normal"/>
              <w:widowControl/>
              <w:tabs>
                <w:tab w:val="clear" w:pos="720"/>
              </w:tabs>
              <w:bidi w:val="0"/>
              <w:ind w:hanging="0" w:start="1080"/>
              <w:jc w:val="start"/>
              <w:rPr/>
            </w:pPr>
            <w:r>
              <w:rPr/>
              <w:t>ABA:</w:t>
            </w:r>
          </w:p>
          <w:p>
            <w:pPr>
              <w:pStyle w:val="Normal"/>
              <w:widowControl/>
              <w:tabs>
                <w:tab w:val="clear" w:pos="720"/>
              </w:tabs>
              <w:bidi w:val="0"/>
              <w:ind w:hanging="0" w:start="1080"/>
              <w:jc w:val="start"/>
              <w:rPr/>
            </w:pPr>
            <w:r>
              <w:rPr/>
              <w:t>Account No.:</w:t>
            </w:r>
          </w:p>
          <w:p>
            <w:pPr>
              <w:pStyle w:val="Normal"/>
              <w:widowControl/>
              <w:tabs>
                <w:tab w:val="clear" w:pos="720"/>
              </w:tabs>
              <w:bidi w:val="0"/>
              <w:ind w:hanging="0" w:start="1080"/>
              <w:jc w:val="start"/>
              <w:rPr/>
            </w:pPr>
            <w:r>
              <w:rPr/>
            </w:r>
          </w:p>
        </w:tc>
        <w:tc>
          <w:tcPr>
            <w:tcW w:w="5939" w:type="dxa"/>
            <w:tcBorders/>
          </w:tcPr>
          <w:p>
            <w:pPr>
              <w:pStyle w:val="Normal"/>
              <w:widowControl/>
              <w:tabs>
                <w:tab w:val="clear" w:pos="720"/>
              </w:tabs>
              <w:bidi w:val="0"/>
              <w:jc w:val="both"/>
              <w:rPr/>
            </w:pPr>
            <w:r>
              <w:rPr/>
              <w:t>The Bank of New York</w:t>
            </w:r>
          </w:p>
          <w:p>
            <w:pPr>
              <w:pStyle w:val="Normal"/>
              <w:widowControl/>
              <w:tabs>
                <w:tab w:val="clear" w:pos="720"/>
              </w:tabs>
              <w:bidi w:val="0"/>
              <w:jc w:val="both"/>
              <w:rPr/>
            </w:pPr>
            <w:r>
              <w:rPr/>
              <w:t>021 000 018</w:t>
            </w:r>
          </w:p>
          <w:p>
            <w:pPr>
              <w:pStyle w:val="Normal"/>
              <w:widowControl/>
              <w:tabs>
                <w:tab w:val="clear" w:pos="720"/>
              </w:tabs>
              <w:bidi w:val="0"/>
              <w:jc w:val="start"/>
              <w:rPr/>
            </w:pPr>
            <w:r>
              <w:rPr/>
              <w:t>GLA 111565 for further credit to A/C# _______ Re:</w:t>
            </w:r>
          </w:p>
          <w:p>
            <w:pPr>
              <w:pStyle w:val="Normal"/>
              <w:widowControl/>
              <w:tabs>
                <w:tab w:val="clear" w:pos="720"/>
              </w:tabs>
              <w:bidi w:val="0"/>
              <w:jc w:val="both"/>
              <w:rPr/>
            </w:pPr>
            <w:r>
              <w:rPr/>
              <w:t>Enron Pass-Through Asset Trust 2000-1</w:t>
            </w:r>
          </w:p>
        </w:tc>
      </w:tr>
    </w:tbl>
    <w:p>
      <w:pPr>
        <w:pStyle w:val="Normal"/>
        <w:widowControl/>
        <w:bidi w:val="0"/>
        <w:ind w:hanging="0" w:start="990"/>
        <w:jc w:val="both"/>
        <w:rPr/>
      </w:pPr>
      <w:r>
        <w:rPr/>
        <w:t xml:space="preserve"> </w:t>
      </w:r>
    </w:p>
    <w:p>
      <w:pPr>
        <w:pStyle w:val="Normal"/>
        <w:widowControl/>
        <w:bidi w:val="0"/>
        <w:jc w:val="both"/>
        <w:rPr/>
      </w:pPr>
      <w:r>
        <w:rPr/>
      </w:r>
    </w:p>
    <w:p>
      <w:pPr>
        <w:pStyle w:val="BodyText"/>
        <w:keepNext w:val="true"/>
        <w:widowControl/>
        <w:bidi w:val="0"/>
        <w:ind w:hanging="720" w:start="720"/>
        <w:jc w:val="both"/>
        <w:rPr>
          <w:rFonts w:ascii="Times New Roman" w:hAnsi="Times New Roman"/>
          <w:b/>
        </w:rPr>
      </w:pPr>
      <w:r>
        <w:rPr>
          <w:b/>
        </w:rPr>
        <w:t>3.</w:t>
        <w:tab/>
        <w:t>Amendments to Master Agreement</w:t>
      </w:r>
    </w:p>
    <w:p>
      <w:pPr>
        <w:pStyle w:val="BodyTextFirstIndent"/>
        <w:widowControl/>
        <w:bidi w:val="0"/>
        <w:ind w:firstLine="720"/>
        <w:jc w:val="both"/>
        <w:rPr>
          <w:rFonts w:ascii="Times New Roman" w:hAnsi="Times New Roman"/>
        </w:rPr>
      </w:pPr>
      <w:r>
        <w:rPr/>
        <w:t>(i)</w:t>
        <w:tab/>
        <w:t>Section 5(a)(i) of the Master Agreement is hereby amended with respect to Counterparty in connection with the Transaction by replacing the words “third Local Business Day after notice of such failure is given to the other party” with the words “30th day after such payment or delivery was due”; and</w:t>
      </w:r>
    </w:p>
    <w:p>
      <w:pPr>
        <w:pStyle w:val="BodyTextFirstIndent"/>
        <w:widowControl/>
        <w:bidi w:val="0"/>
        <w:ind w:firstLine="720"/>
        <w:jc w:val="both"/>
        <w:rPr>
          <w:rFonts w:ascii="Times New Roman" w:hAnsi="Times New Roman"/>
        </w:rPr>
      </w:pPr>
      <w:r>
        <w:rPr/>
        <w:t>(ii)</w:t>
        <w:tab/>
        <w:t>“Additional Termination Event” will apply with respect to the Transaction. The declaration, at any time prior to the Final Exchange Date, of the principal amount of the Bonds to be due and payable immediately in accordance with Section 502 of the Indenture as a result of the occurrence of an Event of Default under the Indenture (a “Conversion Event”) will constitute an Additional Termination Event, with Counterparty as the Affected Party.</w:t>
      </w:r>
    </w:p>
    <w:p>
      <w:pPr>
        <w:pStyle w:val="BodyText"/>
        <w:keepNext w:val="true"/>
        <w:widowControl/>
        <w:bidi w:val="0"/>
        <w:ind w:hanging="720" w:start="720"/>
        <w:jc w:val="both"/>
        <w:rPr>
          <w:rFonts w:ascii="Times New Roman" w:hAnsi="Times New Roman"/>
          <w:b/>
        </w:rPr>
      </w:pPr>
      <w:r>
        <w:rPr>
          <w:b/>
        </w:rPr>
        <w:t>4.</w:t>
        <w:tab/>
        <w:t>Termination</w:t>
      </w:r>
    </w:p>
    <w:p>
      <w:pPr>
        <w:pStyle w:val="BodyTextFirstIndent"/>
        <w:widowControl/>
        <w:bidi w:val="0"/>
        <w:ind w:firstLine="720"/>
        <w:jc w:val="both"/>
        <w:rPr>
          <w:rFonts w:ascii="Times New Roman" w:hAnsi="Times New Roman"/>
        </w:rPr>
      </w:pPr>
      <w:r>
        <w:rPr/>
        <w:t xml:space="preserve">If an Early Termination Date occurs, no amounts shall be payable by either party under Section 6(e) of the Master Agreement with respect to the Transaction in connection with such Early Termination Date other than (i) Unpaid Amounts, if any, owed to Counterparty and (ii) if such Early Termination Date does not result from a Conversion Event, the amounts, if any, owed to Counterparty calculated as provided in Section 6(e) of the Master Agreement with respect to the Transaction in connection with the designation or occurrence of such Early Termination Date. </w:t>
      </w:r>
    </w:p>
    <w:p>
      <w:pPr>
        <w:pStyle w:val="BodyText"/>
        <w:widowControl/>
        <w:tabs>
          <w:tab w:val="clear" w:pos="720"/>
          <w:tab w:val="left" w:pos="1080" w:leader="none"/>
        </w:tabs>
        <w:bidi w:val="0"/>
        <w:ind w:firstLine="720"/>
        <w:jc w:val="both"/>
        <w:rPr>
          <w:rFonts w:ascii="Times New Roman" w:hAnsi="Times New Roman"/>
        </w:rPr>
      </w:pPr>
      <w:r>
        <w:rPr/>
        <w:t>To the extent UBS would be owed an amount pursuant to Section 6(e) of the Master Agreement with respect to the Transaction but for this paragraph 4, UBS shall look solely to the Company for compensation under the terms of the Sterling to U.S. Dollar Swap evidenced by the Confirmation dated the date hereof between UBS and the Company entitled “(Swap 2 – Company Contingent U.S. Dollar to Sterling Swap with UBS).”</w:t>
      </w:r>
    </w:p>
    <w:p>
      <w:pPr>
        <w:pStyle w:val="BodyTextFirstIndent"/>
        <w:widowControl/>
        <w:bidi w:val="0"/>
        <w:ind w:firstLine="720"/>
        <w:jc w:val="both"/>
        <w:rPr>
          <w:rFonts w:ascii="Times New Roman" w:hAnsi="Times New Roman"/>
        </w:rPr>
      </w:pPr>
      <w:r>
        <w:rPr/>
        <w:t xml:space="preserve">For purposes of this paragraph 4, the Fixed U.S. Dollar Amounts and the Fixed Sterling Amounts shall be treated as accruing daily. </w:t>
      </w:r>
    </w:p>
    <w:p>
      <w:pPr>
        <w:pStyle w:val="BodyText"/>
        <w:keepNext w:val="true"/>
        <w:widowControl/>
        <w:bidi w:val="0"/>
        <w:ind w:hanging="720" w:start="720"/>
        <w:jc w:val="both"/>
        <w:rPr>
          <w:rFonts w:ascii="Times New Roman" w:hAnsi="Times New Roman"/>
          <w:b/>
        </w:rPr>
      </w:pPr>
      <w:r>
        <w:rPr>
          <w:b/>
        </w:rPr>
        <w:t>5.</w:t>
        <w:tab/>
        <w:t>Discrepancy</w:t>
      </w:r>
    </w:p>
    <w:p>
      <w:pPr>
        <w:pStyle w:val="BodyTextFirstIndent"/>
        <w:widowControl/>
        <w:bidi w:val="0"/>
        <w:ind w:firstLine="720"/>
        <w:jc w:val="both"/>
        <w:rPr>
          <w:rFonts w:ascii="Times New Roman" w:hAnsi="Times New Roman"/>
        </w:rPr>
      </w:pPr>
      <w:r>
        <w:rPr/>
        <w:t xml:space="preserve">In the event of any discrepancy between the terms of the Transaction relating to the calculation of Fixed U.S. Dollar Amounts and the amounts payable under </w:t>
      </w:r>
      <w:r>
        <w:rPr>
          <w:strike/>
        </w:rPr>
        <w:t>the</w:t>
      </w:r>
      <w:r>
        <w:rPr/>
        <w:t xml:space="preserve"> </w:t>
      </w:r>
      <w:r>
        <w:rPr>
          <w:u w:val="double"/>
        </w:rPr>
        <w:t>Counterparty’s</w:t>
      </w:r>
      <w:r>
        <w:rPr/>
        <w:t xml:space="preserve"> ___% Pass-Through Asset Trust Securities Due </w:t>
      </w:r>
      <w:r>
        <w:rPr>
          <w:strike/>
        </w:rPr>
        <w:t>________</w:t>
      </w:r>
      <w:r>
        <w:rPr>
          <w:u w:val="double"/>
        </w:rPr>
        <w:t>June 15, 2003</w:t>
      </w:r>
      <w:r>
        <w:rPr/>
        <w:t xml:space="preserve"> (the “Certificates”) </w:t>
      </w:r>
      <w:r>
        <w:rPr>
          <w:strike/>
        </w:rPr>
        <w:t xml:space="preserve">of the Enron Pass-Through Asset Trust 2000-1, </w:t>
      </w:r>
      <w:r>
        <w:rPr>
          <w:u w:val="double"/>
        </w:rPr>
        <w:t>to be issued pursuant to the Trust Agreement dated as of June 1, 2000 between the Company and The Bank of New York, as Trustee of Counterparty (the “Trust Agreement”),</w:t>
      </w:r>
      <w:r>
        <w:rPr/>
        <w:t xml:space="preserve"> the terms of the Certificates will govern so that the Fixed U.S. Dollar Amounts and the UBS Final Exchange Currency Amount payable by UBS hereunder are identical to, and payable on the same dates as, the US Dollar distributions due under the Certificates.</w:t>
      </w:r>
    </w:p>
    <w:p>
      <w:pPr>
        <w:pStyle w:val="BodyTextFirstIndent"/>
        <w:widowControl/>
        <w:bidi w:val="0"/>
        <w:ind w:firstLine="720"/>
        <w:jc w:val="both"/>
        <w:rPr>
          <w:rFonts w:ascii="Times New Roman" w:hAnsi="Times New Roman"/>
        </w:rPr>
      </w:pPr>
      <w:r>
        <w:rPr/>
        <w:t>In the event of any discrepancy between the terms of the Transaction relating to the calculation or date of payment of Sterling Fixed Amounts and the amounts payable under the Bonds, the terms of the Bonds will govern so that the Fixed Sterling Amounts and the Counterparty Final Exchange Currency Amount payable by Counterparty hereunder are identical to, and payable on the same dates as, the payments of principal and interest due under the Bonds.</w:t>
      </w:r>
    </w:p>
    <w:p>
      <w:pPr>
        <w:pStyle w:val="BodyText"/>
        <w:keepNext w:val="true"/>
        <w:widowControl/>
        <w:bidi w:val="0"/>
        <w:jc w:val="both"/>
        <w:rPr>
          <w:rFonts w:ascii="Times New Roman" w:hAnsi="Times New Roman"/>
          <w:b/>
        </w:rPr>
      </w:pPr>
      <w:r>
        <w:rPr>
          <w:b/>
        </w:rPr>
        <w:t>6.</w:t>
        <w:tab/>
        <w:t>Non-Petition Covenant</w:t>
      </w:r>
    </w:p>
    <w:p>
      <w:pPr>
        <w:pStyle w:val="BodyTextFirstIndent"/>
        <w:widowControl/>
        <w:bidi w:val="0"/>
        <w:ind w:firstLine="720"/>
        <w:jc w:val="both"/>
        <w:rPr>
          <w:rFonts w:ascii="Times New Roman" w:hAnsi="Times New Roman"/>
        </w:rPr>
      </w:pPr>
      <w:r>
        <w:rPr/>
        <w:t>Notwithstanding any prior termination of the Transaction, UBS agrees that it shall not, until the date that is one year and one day after full and final payment of the Certificates, petition or otherwise invoke or cause Counterparty to invoke the process of the United States of America, any state or other political subdivision thereof or any entity exercising executive, legislative, judicial, regulatory or administrative functions of or pertaining to government for the purpose of commencing or sustaining a case by or against Counterparty under a Federal or state bankruptcy, insolvency or similar law or appointing a receiver, liquidator, assignee, trustee, custodian, sequestrator or other similar official of Counterparty or of all or any part of the property or assets of Counterparty or ordering the winding up or liquidation of the affairs of Counterparty.</w:t>
      </w:r>
    </w:p>
    <w:p>
      <w:pPr>
        <w:pStyle w:val="BodyText"/>
        <w:keepNext w:val="true"/>
        <w:widowControl/>
        <w:bidi w:val="0"/>
        <w:ind w:hanging="720" w:start="720"/>
        <w:jc w:val="both"/>
        <w:rPr>
          <w:rFonts w:ascii="Times New Roman" w:hAnsi="Times New Roman"/>
          <w:b/>
        </w:rPr>
      </w:pPr>
      <w:r>
        <w:rPr>
          <w:b/>
        </w:rPr>
        <w:t>7.</w:t>
        <w:tab/>
        <w:t>Condition Precedent</w:t>
      </w:r>
    </w:p>
    <w:p>
      <w:pPr>
        <w:pStyle w:val="BodyTextFirstIndent"/>
        <w:widowControl/>
        <w:bidi w:val="0"/>
        <w:ind w:firstLine="720"/>
        <w:jc w:val="both"/>
        <w:rPr>
          <w:rFonts w:ascii="Times New Roman" w:hAnsi="Times New Roman"/>
        </w:rPr>
      </w:pPr>
      <w:r>
        <w:rPr/>
        <w:t xml:space="preserve">All payment obligations in connection with the Transaction are subject to the condition that the Certificates and the Bonds each shall have been issued as contemplated by the Offering Circular dated </w:t>
      </w:r>
      <w:r>
        <w:rPr>
          <w:strike/>
        </w:rPr>
        <w:t>________</w:t>
      </w:r>
      <w:r>
        <w:rPr>
          <w:u w:val="double"/>
        </w:rPr>
        <w:t>June __</w:t>
      </w:r>
      <w:r>
        <w:rPr/>
        <w:t>, 2000 relating to the Certificates.</w:t>
      </w:r>
    </w:p>
    <w:p>
      <w:pPr>
        <w:sectPr>
          <w:headerReference w:type="default" r:id="rId8"/>
          <w:headerReference w:type="first" r:id="rId9"/>
          <w:footerReference w:type="default" r:id="rId10"/>
          <w:footerReference w:type="first" r:id="rId11"/>
          <w:type w:val="nextPage"/>
          <w:pgSz w:w="12240" w:h="15840"/>
          <w:pgMar w:left="1440" w:right="1440" w:gutter="0" w:header="720" w:top="1440" w:footer="432" w:bottom="1440"/>
          <w:pgNumType w:fmt="decimal"/>
          <w:formProt w:val="false"/>
          <w:titlePg/>
          <w:textDirection w:val="lrTb"/>
          <w:docGrid w:type="default" w:linePitch="100" w:charSpace="0"/>
        </w:sectPr>
        <w:pStyle w:val="BodyTextFirstIndent"/>
        <w:widowControl/>
        <w:bidi w:val="0"/>
        <w:ind w:firstLine="720"/>
        <w:jc w:val="both"/>
        <w:rPr>
          <w:rFonts w:ascii="Times New Roman" w:hAnsi="Times New Roman"/>
        </w:rPr>
      </w:pPr>
      <w:r>
        <w:rPr/>
        <w:t>Please confirm that the foregoing correctly sets forth the terms of our agreement by executing this Confirmation and returning it to us. If returned by facsimile transmission, please reply to _______ at ________. When sending hard copies, please return them to UBS AG, London Branch, 677 Washington Boulevard, Stamford, Connecticut 06901, Attention: ___________</w:t>
      </w:r>
      <w:r>
        <w:br w:type="page"/>
      </w:r>
    </w:p>
    <w:p>
      <w:pPr>
        <w:pStyle w:val="BodyTextFirstIndent"/>
        <w:widowControl/>
        <w:bidi w:val="0"/>
        <w:ind w:firstLine="720"/>
        <w:jc w:val="start"/>
        <w:rPr>
          <w:rFonts w:ascii="Times New Roman" w:hAnsi="Times New Roman"/>
        </w:rPr>
      </w:pPr>
      <w:r>
        <w:rPr/>
        <w:t>We are happy to have completed this transaction with you.</w:t>
      </w:r>
    </w:p>
    <w:p>
      <w:pPr>
        <w:pStyle w:val="Signature"/>
        <w:widowControl/>
        <w:tabs>
          <w:tab w:val="clear" w:pos="4140"/>
          <w:tab w:val="clear" w:pos="8640"/>
        </w:tabs>
        <w:bidi w:val="0"/>
        <w:ind w:hanging="360" w:start="4680"/>
        <w:jc w:val="start"/>
        <w:rPr>
          <w:rFonts w:ascii="Times New Roman" w:hAnsi="Times New Roman"/>
        </w:rPr>
      </w:pPr>
      <w:r>
        <w:rPr/>
        <w:t>Very truly yours,</w:t>
      </w:r>
    </w:p>
    <w:p>
      <w:pPr>
        <w:pStyle w:val="Signature"/>
        <w:widowControl/>
        <w:tabs>
          <w:tab w:val="clear" w:pos="4140"/>
          <w:tab w:val="clear" w:pos="8640"/>
        </w:tabs>
        <w:bidi w:val="0"/>
        <w:ind w:hanging="360" w:start="4680"/>
        <w:jc w:val="start"/>
        <w:rPr>
          <w:rFonts w:ascii="Times New Roman" w:hAnsi="Times New Roman"/>
        </w:rPr>
      </w:pPr>
      <w:r>
        <w:rPr/>
        <w:t>UBS AG, London Branch</w:t>
      </w:r>
    </w:p>
    <w:p>
      <w:pPr>
        <w:pStyle w:val="Signature"/>
        <w:widowControl/>
        <w:tabs>
          <w:tab w:val="clear" w:pos="4140"/>
          <w:tab w:val="clear" w:pos="8640"/>
        </w:tabs>
        <w:bidi w:val="0"/>
        <w:ind w:hanging="360" w:start="4680"/>
        <w:jc w:val="start"/>
        <w:rPr>
          <w:rFonts w:ascii="Times New Roman" w:hAnsi="Times New Roman"/>
        </w:rPr>
      </w:pPr>
      <w:r>
        <w:rPr/>
        <w:t>By:</w:t>
        <w:tab/>
        <w:t>__________________________</w:t>
        <w:br/>
        <w:t>Name:</w:t>
        <w:br/>
        <w:t>Title:</w:t>
      </w:r>
    </w:p>
    <w:p>
      <w:pPr>
        <w:pStyle w:val="Signature"/>
        <w:widowControl/>
        <w:tabs>
          <w:tab w:val="clear" w:pos="4140"/>
          <w:tab w:val="clear" w:pos="8640"/>
        </w:tabs>
        <w:bidi w:val="0"/>
        <w:spacing w:before="0" w:after="0"/>
        <w:ind w:hanging="360" w:start="4680"/>
        <w:jc w:val="start"/>
        <w:rPr>
          <w:rFonts w:ascii="Times New Roman" w:hAnsi="Times New Roman"/>
          <w:u w:val="single"/>
        </w:rPr>
      </w:pPr>
      <w:r>
        <w:rPr/>
        <w:t>By:</w:t>
      </w:r>
      <w:r>
        <w:rPr>
          <w:u w:val="single"/>
        </w:rPr>
        <w:tab/>
      </w:r>
      <w:r>
        <w:rPr/>
        <w:t>__________________________</w:t>
      </w:r>
    </w:p>
    <w:p>
      <w:pPr>
        <w:pStyle w:val="Signature"/>
        <w:widowControl/>
        <w:tabs>
          <w:tab w:val="clear" w:pos="4140"/>
          <w:tab w:val="clear" w:pos="8640"/>
        </w:tabs>
        <w:bidi w:val="0"/>
        <w:spacing w:before="0" w:after="0"/>
        <w:ind w:hanging="360" w:start="4680"/>
        <w:jc w:val="start"/>
        <w:rPr>
          <w:rFonts w:ascii="Times New Roman" w:hAnsi="Times New Roman"/>
        </w:rPr>
      </w:pPr>
      <w:r>
        <w:rPr/>
        <w:tab/>
        <w:t>Name:</w:t>
      </w:r>
    </w:p>
    <w:p>
      <w:pPr>
        <w:pStyle w:val="Signature"/>
        <w:widowControl/>
        <w:tabs>
          <w:tab w:val="clear" w:pos="4140"/>
          <w:tab w:val="clear" w:pos="8640"/>
        </w:tabs>
        <w:bidi w:val="0"/>
        <w:spacing w:before="0" w:after="0"/>
        <w:ind w:hanging="360" w:start="4680"/>
        <w:jc w:val="start"/>
        <w:rPr>
          <w:rFonts w:ascii="Times New Roman" w:hAnsi="Times New Roman"/>
        </w:rPr>
      </w:pPr>
      <w:r>
        <w:rPr/>
        <w:tab/>
        <w:t>Title:</w:t>
      </w:r>
    </w:p>
    <w:p>
      <w:pPr>
        <w:pStyle w:val="Normal"/>
        <w:bidi w:val="0"/>
        <w:spacing w:before="0" w:after="960"/>
        <w:jc w:val="start"/>
        <w:rPr/>
      </w:pPr>
      <w:r>
        <w:rPr/>
      </w:r>
    </w:p>
    <w:p>
      <w:pPr>
        <w:pStyle w:val="Normal"/>
        <w:bidi w:val="0"/>
        <w:spacing w:before="0" w:after="240"/>
        <w:jc w:val="start"/>
        <w:rPr/>
      </w:pPr>
      <w:r>
        <w:rPr/>
        <w:t>Accepted and confirmed as of</w:t>
        <w:br/>
        <w:t>the date first above written:</w:t>
      </w:r>
    </w:p>
    <w:p>
      <w:pPr>
        <w:pStyle w:val="Normal"/>
        <w:widowControl/>
        <w:bidi w:val="0"/>
        <w:jc w:val="start"/>
        <w:rPr>
          <w:u w:val="double"/>
        </w:rPr>
      </w:pPr>
      <w:r>
        <w:rPr>
          <w:u w:val="double"/>
        </w:rPr>
        <w:t>Enron Pass-Through Asset Trust 2000-1</w:t>
      </w:r>
    </w:p>
    <w:p>
      <w:pPr>
        <w:pStyle w:val="Normal"/>
        <w:widowControl/>
        <w:bidi w:val="0"/>
        <w:jc w:val="start"/>
        <w:rPr/>
      </w:pPr>
      <w:r>
        <w:rPr>
          <w:u w:val="double"/>
        </w:rPr>
        <w:t>By:</w:t>
      </w:r>
      <w:r>
        <w:rPr/>
        <w:t xml:space="preserve"> The Bank of New York, </w:t>
      </w:r>
      <w:r>
        <w:rPr>
          <w:strike/>
        </w:rPr>
        <w:t>notin</w:t>
      </w:r>
      <w:r>
        <w:rPr/>
        <w:t xml:space="preserve"> </w:t>
      </w:r>
      <w:r>
        <w:rPr>
          <w:u w:val="double"/>
        </w:rPr>
        <w:t>not in</w:t>
      </w:r>
      <w:r>
        <w:rPr/>
        <w:t xml:space="preserve"> its</w:t>
      </w:r>
    </w:p>
    <w:p>
      <w:pPr>
        <w:pStyle w:val="Normal"/>
        <w:widowControl/>
        <w:bidi w:val="0"/>
        <w:spacing w:before="0" w:after="960"/>
        <w:jc w:val="start"/>
        <w:rPr>
          <w:strike/>
        </w:rPr>
      </w:pPr>
      <w:r>
        <w:rPr/>
        <w:t xml:space="preserve">individual capacity but </w:t>
      </w:r>
      <w:r>
        <w:rPr>
          <w:strike/>
        </w:rPr>
        <w:t>solelyas</w:t>
      </w:r>
      <w:r>
        <w:rPr/>
        <w:t xml:space="preserve"> </w:t>
      </w:r>
      <w:r>
        <w:rPr>
          <w:u w:val="double"/>
        </w:rPr>
        <w:t>solely as</w:t>
      </w:r>
      <w:r>
        <w:rPr/>
        <w:t xml:space="preserve"> Trustee </w:t>
      </w:r>
      <w:r>
        <w:rPr>
          <w:strike/>
        </w:rPr>
        <w:t>of the Enron Pass-Through</w:t>
      </w:r>
    </w:p>
    <w:p>
      <w:pPr>
        <w:pStyle w:val="Normal"/>
        <w:widowControl/>
        <w:bidi w:val="0"/>
        <w:spacing w:before="0" w:after="960"/>
        <w:jc w:val="start"/>
        <w:rPr/>
      </w:pPr>
      <w:r>
        <w:rPr>
          <w:strike/>
        </w:rPr>
        <w:t>Asset Trust 2000-1</w:t>
      </w:r>
    </w:p>
    <w:p>
      <w:pPr>
        <w:pStyle w:val="Normal"/>
        <w:widowControl/>
        <w:bidi w:val="0"/>
        <w:ind w:hanging="360" w:start="360"/>
        <w:jc w:val="start"/>
        <w:rPr/>
      </w:pPr>
      <w:r>
        <w:rPr/>
        <w:t>By:</w:t>
        <w:tab/>
        <w:t>__________________________</w:t>
        <w:br/>
        <w:t>Name:</w:t>
        <w:br/>
        <w:t>Title:</w:t>
      </w:r>
    </w:p>
    <w:p>
      <w:pPr>
        <w:pStyle w:val="Normal"/>
        <w:widowControl/>
        <w:bidi w:val="0"/>
        <w:ind w:hanging="360" w:start="360"/>
        <w:jc w:val="start"/>
        <w:rPr/>
      </w:pPr>
      <w:r>
        <w:rPr/>
      </w:r>
      <w:r>
        <w:br w:type="page"/>
      </w:r>
    </w:p>
    <w:p>
      <w:pPr>
        <w:pStyle w:val="Normal"/>
        <w:bidi w:val="0"/>
        <w:jc w:val="start"/>
        <w:rPr/>
      </w:pPr>
      <w:r>
        <w:rPr/>
        <w:t>------------------ COMPARISON OF HEADERS ------------------</w:t>
      </w:r>
    </w:p>
    <w:p>
      <w:pPr>
        <w:pStyle w:val="Normal"/>
        <w:bidi w:val="0"/>
        <w:jc w:val="start"/>
        <w:rPr/>
      </w:pPr>
      <w:r>
        <w:rPr/>
      </w:r>
    </w:p>
    <w:p>
      <w:pPr>
        <w:pStyle w:val="Normal"/>
        <w:bidi w:val="0"/>
        <w:jc w:val="start"/>
        <w:rPr/>
      </w:pPr>
      <w:r>
        <w:rPr/>
        <w:t>-HEADER 1-</w:t>
      </w:r>
    </w:p>
    <w:p>
      <w:pPr>
        <w:pStyle w:val="Normal"/>
        <w:bidi w:val="0"/>
        <w:jc w:val="start"/>
        <w:rPr/>
      </w:pPr>
      <w:r>
        <w:rPr>
          <w:strike/>
        </w:rPr>
        <w:t>WSPRDRAFT5/20/00</w:t>
      </w:r>
      <w:r>
        <w:rPr/>
        <w:t xml:space="preserve"> </w:t>
      </w:r>
      <w:r>
        <w:rPr>
          <w:u w:val="double"/>
        </w:rPr>
        <w:t>WSPRDRAFT6/2/00</w:t>
      </w:r>
    </w:p>
    <w:p>
      <w:pPr>
        <w:pStyle w:val="Normal"/>
        <w:bidi w:val="0"/>
        <w:jc w:val="start"/>
        <w:rPr/>
      </w:pPr>
      <w:r>
        <w:rPr/>
      </w:r>
    </w:p>
    <w:p>
      <w:pPr>
        <w:pStyle w:val="Normal"/>
        <w:bidi w:val="0"/>
        <w:jc w:val="start"/>
        <w:rPr/>
      </w:pPr>
      <w:r>
        <w:rPr/>
        <w:t>-HEADER 2-</w:t>
      </w:r>
    </w:p>
    <w:p>
      <w:pPr>
        <w:pStyle w:val="Normal"/>
        <w:bidi w:val="0"/>
        <w:jc w:val="start"/>
        <w:rPr/>
      </w:pPr>
      <w:r>
        <w:rPr/>
        <w:t>Header Discontinued</w:t>
      </w:r>
    </w:p>
    <w:p>
      <w:pPr>
        <w:pStyle w:val="Normal"/>
        <w:bidi w:val="0"/>
        <w:jc w:val="start"/>
        <w:rPr/>
      </w:pPr>
      <w:r>
        <w:rPr/>
      </w:r>
    </w:p>
    <w:p>
      <w:pPr>
        <w:pStyle w:val="Normal"/>
        <w:bidi w:val="0"/>
        <w:jc w:val="start"/>
        <w:rPr/>
      </w:pPr>
      <w:r>
        <w:rPr/>
      </w:r>
    </w:p>
    <w:p>
      <w:pPr>
        <w:pStyle w:val="Normal"/>
        <w:bidi w:val="0"/>
        <w:jc w:val="start"/>
        <w:rPr/>
      </w:pPr>
      <w:r>
        <w:rPr/>
        <w:t>------------------ COMPARISON OF FOOTERS ------------------</w:t>
      </w:r>
    </w:p>
    <w:p>
      <w:pPr>
        <w:pStyle w:val="Normal"/>
        <w:bidi w:val="0"/>
        <w:jc w:val="start"/>
        <w:rPr/>
      </w:pPr>
      <w:r>
        <w:rPr/>
      </w:r>
    </w:p>
    <w:p>
      <w:pPr>
        <w:pStyle w:val="Normal"/>
        <w:bidi w:val="0"/>
        <w:jc w:val="start"/>
        <w:rPr/>
      </w:pPr>
      <w:r>
        <w:rPr/>
        <w:t>-FOOTER 1-</w:t>
      </w:r>
    </w:p>
    <w:p>
      <w:pPr>
        <w:pStyle w:val="Normal"/>
        <w:bidi w:val="0"/>
        <w:jc w:val="start"/>
        <w:rPr/>
      </w:pPr>
      <w:r>
        <w:rPr>
          <w:strike/>
        </w:rPr>
        <w:t>1</w:t>
      </w:r>
      <w:r>
        <w:rPr/>
        <w:t xml:space="preserve"> </w:t>
      </w:r>
      <w:r>
        <w:rPr>
          <w:u w:val="double"/>
        </w:rPr>
        <w:t>7</w:t>
      </w:r>
    </w:p>
    <w:p>
      <w:pPr>
        <w:pStyle w:val="Normal"/>
        <w:bidi w:val="0"/>
        <w:jc w:val="start"/>
        <w:rPr/>
      </w:pPr>
      <w:r>
        <w:rPr>
          <w:strike/>
        </w:rPr>
        <w:t>63235568.02</w:t>
      </w:r>
      <w:r>
        <w:rPr/>
        <w:t xml:space="preserve"> </w:t>
      </w:r>
      <w:r>
        <w:rPr>
          <w:u w:val="double"/>
        </w:rPr>
        <w:t>63235568.03</w:t>
      </w:r>
    </w:p>
    <w:p>
      <w:pPr>
        <w:pStyle w:val="Normal"/>
        <w:bidi w:val="0"/>
        <w:jc w:val="start"/>
        <w:rPr/>
      </w:pPr>
      <w:r>
        <w:rPr/>
      </w:r>
    </w:p>
    <w:p>
      <w:pPr>
        <w:pStyle w:val="Normal"/>
        <w:bidi w:val="0"/>
        <w:jc w:val="start"/>
        <w:rPr/>
      </w:pPr>
      <w:r>
        <w:rPr/>
        <w:t>-FOOTER 2-</w:t>
      </w:r>
    </w:p>
    <w:p>
      <w:pPr>
        <w:pStyle w:val="Normal"/>
        <w:bidi w:val="0"/>
        <w:jc w:val="start"/>
        <w:rPr/>
      </w:pPr>
      <w:r>
        <w:rPr>
          <w:strike/>
        </w:rPr>
        <w:t>5</w:t>
      </w:r>
      <w:r>
        <w:rPr/>
        <w:t xml:space="preserve"> </w:t>
      </w:r>
      <w:r>
        <w:rPr>
          <w:u w:val="double"/>
        </w:rPr>
        <w:t>2</w:t>
      </w:r>
    </w:p>
    <w:p>
      <w:pPr>
        <w:pStyle w:val="Normal"/>
        <w:bidi w:val="0"/>
        <w:jc w:val="start"/>
        <w:rPr/>
      </w:pPr>
      <w:r>
        <w:rPr>
          <w:strike/>
        </w:rPr>
        <w:t>63235568.02</w:t>
      </w:r>
      <w:r>
        <w:rPr/>
        <w:t xml:space="preserve"> </w:t>
      </w:r>
      <w:r>
        <w:rPr>
          <w:u w:val="double"/>
        </w:rPr>
        <w:t>63235568.03</w:t>
      </w:r>
    </w:p>
    <w:p>
      <w:pPr>
        <w:pStyle w:val="Normal"/>
        <w:bidi w:val="0"/>
        <w:jc w:val="start"/>
        <w:rPr/>
      </w:pPr>
      <w:r>
        <w:rPr/>
      </w:r>
    </w:p>
    <w:p>
      <w:pPr>
        <w:pStyle w:val="Normal"/>
        <w:bidi w:val="0"/>
        <w:jc w:val="start"/>
        <w:rPr/>
      </w:pPr>
      <w:r>
        <w:rPr/>
        <w:t>-FOOTER 3-</w:t>
      </w:r>
    </w:p>
    <w:p>
      <w:pPr>
        <w:pStyle w:val="Normal"/>
        <w:bidi w:val="0"/>
        <w:jc w:val="start"/>
        <w:rPr/>
      </w:pPr>
      <w:r>
        <w:rPr>
          <w:strike/>
        </w:rPr>
        <w:t>63235568.02</w:t>
      </w:r>
      <w:r>
        <w:rPr/>
        <w:t xml:space="preserve"> </w:t>
      </w:r>
      <w:r>
        <w:rPr>
          <w:u w:val="double"/>
        </w:rPr>
        <w:t>63235568.03</w:t>
      </w:r>
    </w:p>
    <w:p>
      <w:pPr>
        <w:pStyle w:val="Normal"/>
        <w:bidi w:val="0"/>
        <w:jc w:val="start"/>
        <w:rPr/>
      </w:pPr>
      <w:r>
        <w:rPr>
          <w:strike/>
        </w:rPr>
        <w:t>_</w:t>
      </w:r>
      <w:r>
        <w:rPr>
          <w:u w:val="double"/>
        </w:rPr>
        <w:t>J</w:t>
      </w:r>
    </w:p>
    <w:p>
      <w:pPr>
        <w:pStyle w:val="Normal"/>
        <w:bidi w:val="0"/>
        <w:jc w:val="start"/>
        <w:rPr/>
      </w:pPr>
      <w:r>
        <w:rPr/>
      </w:r>
    </w:p>
    <w:p>
      <w:pPr>
        <w:pStyle w:val="Normal"/>
        <w:bidi w:val="0"/>
        <w:jc w:val="start"/>
        <w:rPr/>
      </w:pPr>
      <w:r>
        <w:rPr/>
        <w:t>-FOOTER 4-</w:t>
      </w:r>
    </w:p>
    <w:p>
      <w:pPr>
        <w:pStyle w:val="Normal"/>
        <w:bidi w:val="0"/>
        <w:jc w:val="start"/>
        <w:rPr/>
      </w:pPr>
      <w:r>
        <w:rPr>
          <w:strike/>
        </w:rPr>
        <w:t>63235568.02</w:t>
      </w:r>
      <w:r>
        <w:rPr/>
        <w:t xml:space="preserve"> </w:t>
      </w:r>
      <w:r>
        <w:rPr>
          <w:u w:val="double"/>
        </w:rPr>
        <w:t>63235568.03</w:t>
      </w:r>
    </w:p>
    <w:p>
      <w:pPr>
        <w:pStyle w:val="Normal"/>
        <w:bidi w:val="0"/>
        <w:jc w:val="start"/>
        <w:rPr/>
      </w:pPr>
      <w:r>
        <w:rPr/>
        <w:t>W</w:t>
      </w:r>
    </w:p>
    <w:sectPr>
      <w:headerReference w:type="even" r:id="rId12"/>
      <w:headerReference w:type="default" r:id="rId13"/>
      <w:headerReference w:type="first" r:id="rId14"/>
      <w:footerReference w:type="even" r:id="rId15"/>
      <w:footerReference w:type="default" r:id="rId16"/>
      <w:footerReference w:type="first" r:id="rId17"/>
      <w:type w:val="nextPage"/>
      <w:pgSz w:w="12240" w:h="15840"/>
      <w:pgMar w:left="1440" w:right="1440" w:gutter="0" w:header="720" w:top="1440" w:footer="432"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center"/>
      <w:rPr>
        <w:sz w:val="20"/>
      </w:rPr>
    </w:pPr>
    <w:r>
      <w:rPr>
        <w:sz w:val="20"/>
        <w:lang w:val="en-CA"/>
      </w:rPr>
      <w:fldChar w:fldCharType="begin"/>
    </w:r>
    <w:r>
      <w:rPr>
        <w:sz w:val="20"/>
        <w:lang w:val="en-CA"/>
      </w:rPr>
      <w:instrText xml:space="preserve"> PAGE </w:instrText>
    </w:r>
    <w:r>
      <w:rPr>
        <w:sz w:val="20"/>
        <w:lang w:val="en-CA"/>
      </w:rPr>
      <w:fldChar w:fldCharType="separate"/>
    </w:r>
    <w:r>
      <w:rPr>
        <w:sz w:val="20"/>
        <w:lang w:val="en-CA"/>
      </w:rPr>
      <w:t>0</w:t>
    </w:r>
    <w:r>
      <w:rPr>
        <w:sz w:val="20"/>
        <w:lang w:val="en-CA"/>
      </w:rPr>
      <w:fldChar w:fldCharType="end"/>
    </w:r>
  </w:p>
  <w:p>
    <w:pPr>
      <w:pStyle w:val="DocID"/>
      <w:widowControl/>
      <w:bidi w:val="0"/>
      <w:jc w:val="start"/>
      <w:rPr/>
    </w:pPr>
    <w:r>
      <w:rPr/>
      <w:t>63235568.03 v. 63235568.02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widowControl/>
      <w:bidi w:val="0"/>
      <w:jc w:val="start"/>
      <w:rPr/>
    </w:pPr>
    <w:r>
      <w:rPr/>
      <w:t>63235568.03 v. 63235568.02</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center"/>
      <w:rPr>
        <w:sz w:val="20"/>
      </w:rPr>
    </w:pPr>
    <w:r>
      <w:rPr>
        <w:sz w:val="20"/>
        <w:lang w:val="en-CA"/>
      </w:rPr>
      <w:fldChar w:fldCharType="begin"/>
    </w:r>
    <w:r>
      <w:rPr>
        <w:sz w:val="20"/>
        <w:lang w:val="en-CA"/>
      </w:rPr>
      <w:instrText xml:space="preserve"> PAGE </w:instrText>
    </w:r>
    <w:r>
      <w:rPr>
        <w:sz w:val="20"/>
        <w:lang w:val="en-CA"/>
      </w:rPr>
      <w:fldChar w:fldCharType="separate"/>
    </w:r>
    <w:r>
      <w:rPr>
        <w:sz w:val="20"/>
        <w:lang w:val="en-CA"/>
      </w:rPr>
      <w:t>7</w:t>
    </w:r>
    <w:r>
      <w:rPr>
        <w:sz w:val="20"/>
        <w:lang w:val="en-CA"/>
      </w:rPr>
      <w:fldChar w:fldCharType="end"/>
    </w:r>
  </w:p>
  <w:p>
    <w:pPr>
      <w:pStyle w:val="DocID"/>
      <w:widowControl/>
      <w:bidi w:val="0"/>
      <w:jc w:val="start"/>
      <w:rPr/>
    </w:pPr>
    <w:r>
      <w:rPr/>
      <w:t>63235568.03 v. 63235568.02</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widowControl/>
      <w:bidi w:val="0"/>
      <w:jc w:val="start"/>
      <w:rPr/>
    </w:pPr>
    <w:r>
      <w:rPr/>
      <w:t>63235568.03 v. 63235568.02</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center"/>
      <w:rPr>
        <w:sz w:val="20"/>
      </w:rPr>
    </w:pPr>
    <w:r>
      <w:rPr>
        <w:sz w:val="20"/>
        <w:lang w:val="en-CA"/>
      </w:rPr>
      <w:fldChar w:fldCharType="begin"/>
    </w:r>
    <w:r>
      <w:rPr>
        <w:sz w:val="20"/>
        <w:lang w:val="en-CA"/>
      </w:rPr>
      <w:instrText xml:space="preserve"> PAGE </w:instrText>
    </w:r>
    <w:r>
      <w:rPr>
        <w:sz w:val="20"/>
        <w:lang w:val="en-CA"/>
      </w:rPr>
      <w:fldChar w:fldCharType="separate"/>
    </w:r>
    <w:r>
      <w:rPr>
        <w:sz w:val="20"/>
        <w:lang w:val="en-CA"/>
      </w:rPr>
      <w:t>9</w:t>
    </w:r>
    <w:r>
      <w:rPr>
        <w:sz w:val="20"/>
        <w:lang w:val="en-CA"/>
      </w:rPr>
      <w:fldChar w:fldCharType="end"/>
    </w:r>
  </w:p>
  <w:p>
    <w:pPr>
      <w:pStyle w:val="DocID"/>
      <w:widowControl/>
      <w:bidi w:val="0"/>
      <w:jc w:val="start"/>
      <w:rPr/>
    </w:pPr>
    <w:r>
      <w:rPr/>
      <w:t>63235568.03 v. 63235568.02</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widowControl/>
      <w:bidi w:val="0"/>
      <w:jc w:val="start"/>
      <w:rPr/>
    </w:pPr>
    <w:r>
      <w:rPr/>
      <w:t>63235568.03 v. 63235568.02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sz w:val="22"/>
      </w:rPr>
    </w:pPr>
    <w:r>
      <w:rPr>
        <w:sz w:val="22"/>
      </w:rPr>
      <w:t>WSPR</w:t>
      <w:br/>
      <w:t>DRAFT</w:t>
      <w:br/>
      <w:t>6/2/00</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sz w:val="22"/>
      </w:rPr>
    </w:pPr>
    <w:r>
      <w:rPr>
        <w:sz w:val="22"/>
      </w:rPr>
      <w:t>WSPR</w:t>
      <w:br/>
      <w:t>DRAFT</w:t>
      <w:br/>
      <w:t>6/2/00</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rPr>
    </w:pPr>
    <w:r>
      <w:rPr/>
    </w:r>
  </w:p>
</w:hdr>
</file>

<file path=word/settings.xml><?xml version="1.0" encoding="utf-8"?>
<w:settings xmlns:w="http://schemas.openxmlformats.org/wordprocessingml/2006/main">
  <w:zoom w:percent="88"/>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Times New Roman" w:cs="Times New Roman"/>
      <w:color w:val="auto"/>
      <w:kern w:val="2"/>
      <w:sz w:val="24"/>
      <w:szCs w:val="24"/>
      <w:lang w:val="en-CA" w:eastAsia="zh-CN" w:bidi="hi-IN"/>
    </w:rPr>
  </w:style>
  <w:style w:type="paragraph" w:styleId="Heading1">
    <w:name w:val="heading 1"/>
    <w:basedOn w:val="Heading"/>
    <w:qFormat/>
    <w:pPr>
      <w:keepNext w:val="true"/>
      <w:keepLines/>
      <w:widowControl w:val="false"/>
      <w:spacing w:before="240" w:after="240"/>
      <w:jc w:val="center"/>
    </w:pPr>
    <w:rPr/>
  </w:style>
  <w:style w:type="paragraph" w:styleId="Heading2">
    <w:name w:val="heading 2"/>
    <w:basedOn w:val="Heading"/>
    <w:qFormat/>
    <w:pPr>
      <w:widowControl w:val="false"/>
      <w:spacing w:before="240" w:after="240"/>
      <w:ind w:firstLine="1440"/>
    </w:pPr>
    <w:rPr/>
  </w:style>
  <w:style w:type="paragraph" w:styleId="Heading3">
    <w:name w:val="heading 3"/>
    <w:basedOn w:val="Heading"/>
    <w:qFormat/>
    <w:pPr>
      <w:widowControl w:val="false"/>
      <w:spacing w:before="240" w:after="240"/>
      <w:ind w:firstLine="1440"/>
    </w:pPr>
    <w:rPr/>
  </w:style>
  <w:style w:type="paragraph" w:styleId="Heading4">
    <w:name w:val="heading 4"/>
    <w:basedOn w:val="Heading"/>
    <w:qFormat/>
    <w:pPr>
      <w:widowControl w:val="false"/>
      <w:tabs>
        <w:tab w:val="clear" w:pos="720"/>
        <w:tab w:val="left" w:pos="2160" w:leader="none"/>
      </w:tabs>
      <w:spacing w:before="240" w:after="240"/>
      <w:ind w:firstLine="720" w:start="720"/>
    </w:pPr>
    <w:rPr/>
  </w:style>
  <w:style w:type="paragraph" w:styleId="Heading5">
    <w:name w:val="heading 5"/>
    <w:basedOn w:val="Heading"/>
    <w:qFormat/>
    <w:pPr>
      <w:widowControl w:val="false"/>
      <w:spacing w:before="240" w:after="240"/>
    </w:pPr>
    <w:rPr/>
  </w:style>
  <w:style w:type="paragraph" w:styleId="Heading6">
    <w:name w:val="heading 6"/>
    <w:basedOn w:val="Heading"/>
    <w:qFormat/>
    <w:pPr>
      <w:widowControl w:val="false"/>
      <w:spacing w:before="240" w:after="240"/>
    </w:pPr>
    <w:rPr/>
  </w:style>
  <w:style w:type="paragraph" w:styleId="Heading7">
    <w:name w:val="heading 7"/>
    <w:basedOn w:val="Heading"/>
    <w:qFormat/>
    <w:pPr>
      <w:widowControl w:val="false"/>
      <w:spacing w:before="240" w:after="240"/>
    </w:pPr>
    <w:rPr/>
  </w:style>
  <w:style w:type="paragraph" w:styleId="Heading8">
    <w:name w:val="heading 8"/>
    <w:basedOn w:val="Heading"/>
    <w:qFormat/>
    <w:pPr>
      <w:widowControl w:val="false"/>
      <w:tabs>
        <w:tab w:val="clear" w:pos="720"/>
        <w:tab w:val="left" w:pos="1080" w:leader="none"/>
      </w:tabs>
      <w:spacing w:before="240" w:after="240"/>
    </w:pPr>
    <w:rPr/>
  </w:style>
  <w:style w:type="paragraph" w:styleId="Heading9">
    <w:name w:val="heading 9"/>
    <w:basedOn w:val="Heading"/>
    <w:qFormat/>
    <w:pPr>
      <w:widowControl w:val="false"/>
      <w:spacing w:before="240" w:after="240"/>
    </w:pPr>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CommentReference">
    <w:name w:val="annotation reference"/>
    <w:basedOn w:val="DefaultParagraphFont"/>
    <w:qFormat/>
    <w:rPr>
      <w:sz w:val="16"/>
    </w:rPr>
  </w:style>
  <w:style w:type="character" w:styleId="PageNumber">
    <w:name w:val="page number"/>
    <w:basedOn w:val="DefaultParagraphFon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widowControl w:val="false"/>
      <w:spacing w:before="0" w:after="240"/>
      <w:ind w:firstLine="720"/>
    </w:pPr>
    <w:rPr/>
  </w:style>
  <w:style w:type="paragraph" w:styleId="ListNumber">
    <w:name w:val="List Number"/>
    <w:basedOn w:val="Normal"/>
    <w:pPr>
      <w:widowControl w:val="false"/>
      <w:tabs>
        <w:tab w:val="clear" w:pos="720"/>
        <w:tab w:val="left" w:pos="360" w:leader="none"/>
      </w:tabs>
      <w:ind w:hanging="360" w:start="360"/>
    </w:pPr>
    <w:rPr/>
  </w:style>
  <w:style w:type="paragraph" w:styleId="BodyTextFirstIndent">
    <w:name w:val="Body Text First Indent"/>
    <w:basedOn w:val="BodyText"/>
    <w:pPr>
      <w:widowControl w:val="false"/>
      <w:spacing w:before="0" w:after="240"/>
      <w:ind w:firstLine="1440"/>
    </w:pPr>
    <w:rPr/>
  </w:style>
  <w:style w:type="paragraph" w:styleId="CommentText">
    <w:name w:val="annotation text"/>
    <w:basedOn w:val="Normal"/>
    <w:pPr>
      <w:widowControl w:val="false"/>
    </w:pPr>
    <w:rPr>
      <w:sz w:val="20"/>
    </w:rPr>
  </w:style>
  <w:style w:type="paragraph" w:styleId="Definitions">
    <w:name w:val="Definitions"/>
    <w:basedOn w:val="BodyTextFirstIndent"/>
    <w:next w:val="BodyText"/>
    <w:qFormat/>
    <w:pPr>
      <w:widowControl w:val="false"/>
      <w:spacing w:before="0" w:after="240"/>
      <w:ind w:firstLine="1440"/>
    </w:pPr>
    <w:rPr/>
  </w:style>
  <w:style w:type="paragraph" w:styleId="BlockText">
    <w:name w:val="Block Text"/>
    <w:basedOn w:val="BodyText"/>
    <w:qFormat/>
    <w:pPr>
      <w:widowControl w:val="false"/>
      <w:spacing w:before="0" w:after="240"/>
      <w:ind w:hanging="0" w:start="1440" w:end="1440"/>
    </w:pPr>
    <w:rPr/>
  </w:style>
  <w:style w:type="paragraph" w:styleId="IndexHeading">
    <w:name w:val="index heading"/>
    <w:basedOn w:val="Normal"/>
    <w:next w:val="Index1"/>
    <w:pPr>
      <w:widowControl w:val="false"/>
    </w:pPr>
    <w:rPr>
      <w:b/>
    </w:rPr>
  </w:style>
  <w:style w:type="paragraph" w:styleId="TableofAuthorities">
    <w:name w:val="table of authorities"/>
    <w:basedOn w:val="Normal"/>
    <w:next w:val="Normal"/>
    <w:pPr>
      <w:widowControl w:val="false"/>
      <w:spacing w:before="0" w:after="240"/>
      <w:ind w:hanging="288" w:start="288"/>
    </w:pPr>
    <w:rPr/>
  </w:style>
  <w:style w:type="paragraph" w:styleId="Title">
    <w:name w:val="Title"/>
    <w:basedOn w:val="Normal"/>
    <w:qFormat/>
    <w:pPr>
      <w:widowControl w:val="false"/>
      <w:spacing w:before="120" w:after="240"/>
      <w:jc w:val="center"/>
    </w:pPr>
    <w:rPr>
      <w:b/>
    </w:rPr>
  </w:style>
  <w:style w:type="paragraph" w:styleId="TOC1">
    <w:name w:val="toc 1"/>
    <w:basedOn w:val="Normal"/>
    <w:next w:val="Normal"/>
    <w:autoRedefine/>
    <w:pPr>
      <w:keepNext w:val="true"/>
      <w:keepLines/>
      <w:widowControl w:val="false"/>
      <w:spacing w:before="240" w:after="120"/>
      <w:ind w:hanging="1728" w:start="1728" w:end="720"/>
    </w:pPr>
    <w:rPr/>
  </w:style>
  <w:style w:type="paragraph" w:styleId="TOC2">
    <w:name w:val="toc 2"/>
    <w:basedOn w:val="Normal"/>
    <w:next w:val="Normal"/>
    <w:autoRedefine/>
    <w:pPr>
      <w:widowControl w:val="false"/>
      <w:ind w:hanging="2160" w:start="2520" w:end="720"/>
    </w:pPr>
    <w:rPr/>
  </w:style>
  <w:style w:type="paragraph" w:styleId="TOC3">
    <w:name w:val="toc 3"/>
    <w:basedOn w:val="Normal"/>
    <w:next w:val="Normal"/>
    <w:autoRedefine/>
    <w:pPr>
      <w:widowControl w:val="false"/>
      <w:ind w:hanging="720" w:start="1440" w:end="720"/>
    </w:pPr>
    <w:rPr/>
  </w:style>
  <w:style w:type="paragraph" w:styleId="NormalIndent">
    <w:name w:val="Normal Indent"/>
    <w:basedOn w:val="Normal"/>
    <w:qFormat/>
    <w:pPr>
      <w:widowControl w:val="false"/>
      <w:ind w:hanging="0" w:start="720"/>
    </w:pPr>
    <w:rPr/>
  </w:style>
  <w:style w:type="paragraph" w:styleId="BodyText2">
    <w:name w:val="Body Text 2"/>
    <w:basedOn w:val="BodyText"/>
    <w:qFormat/>
    <w:pPr>
      <w:widowControl w:val="false"/>
      <w:spacing w:before="0" w:after="240"/>
      <w:ind w:hanging="0" w:start="720"/>
    </w:pPr>
    <w:rPr/>
  </w:style>
  <w:style w:type="paragraph" w:styleId="BodyTextFirstIndent2">
    <w:name w:val="Body Text First Indent 2"/>
    <w:basedOn w:val="BodyTextFirstIndent"/>
    <w:qFormat/>
    <w:pPr>
      <w:widowControl w:val="false"/>
      <w:spacing w:before="0" w:after="240"/>
      <w:ind w:firstLine="720" w:start="720"/>
    </w:pPr>
    <w:rPr/>
  </w:style>
  <w:style w:type="paragraph" w:styleId="BodyTextIndent2">
    <w:name w:val="Body Text Indent 2"/>
    <w:basedOn w:val="BodyText"/>
    <w:qFormat/>
    <w:pPr>
      <w:widowControl w:val="false"/>
      <w:spacing w:before="0" w:after="240"/>
      <w:ind w:hanging="0" w:start="720" w:end="720"/>
    </w:pPr>
    <w:rPr/>
  </w:style>
  <w:style w:type="paragraph" w:styleId="Date">
    <w:name w:val="Date"/>
    <w:basedOn w:val="Normal"/>
    <w:next w:val="Normal"/>
    <w:qFormat/>
    <w:pPr>
      <w:widowControl w:val="false"/>
    </w:pPr>
    <w:rPr/>
  </w:style>
  <w:style w:type="paragraph" w:styleId="HeaderandFooter">
    <w:name w:val="Header and Footer"/>
    <w:basedOn w:val="Normal"/>
    <w:qFormat/>
    <w:pPr/>
    <w:rPr/>
  </w:style>
  <w:style w:type="paragraph" w:styleId="Footer">
    <w:name w:val="footer"/>
    <w:basedOn w:val="Normal"/>
    <w:pPr>
      <w:widowControl w:val="false"/>
    </w:pPr>
    <w:rPr>
      <w:sz w:val="18"/>
    </w:rPr>
  </w:style>
  <w:style w:type="paragraph" w:styleId="BodyText3">
    <w:name w:val="Body Text 3"/>
    <w:basedOn w:val="Normal"/>
    <w:qFormat/>
    <w:pPr>
      <w:widowControl w:val="false"/>
      <w:spacing w:before="0" w:after="120"/>
    </w:pPr>
    <w:rPr/>
  </w:style>
  <w:style w:type="paragraph" w:styleId="BodyTextIndent3">
    <w:name w:val="Body Text Indent 3"/>
    <w:basedOn w:val="BodyText"/>
    <w:qFormat/>
    <w:pPr>
      <w:widowControl w:val="false"/>
      <w:spacing w:before="0" w:after="240"/>
      <w:ind w:hanging="0" w:start="1440" w:end="720"/>
    </w:pPr>
    <w:rPr/>
  </w:style>
  <w:style w:type="paragraph" w:styleId="Index1">
    <w:name w:val="index 1"/>
    <w:basedOn w:val="Normal"/>
    <w:next w:val="Normal"/>
    <w:autoRedefine/>
    <w:pPr>
      <w:widowControl w:val="false"/>
      <w:ind w:hanging="240" w:start="240"/>
    </w:pPr>
    <w:rPr/>
  </w:style>
  <w:style w:type="paragraph" w:styleId="ListBullet">
    <w:name w:val="List Bullet"/>
    <w:basedOn w:val="Normal"/>
    <w:autoRedefine/>
    <w:pPr>
      <w:widowControl w:val="false"/>
      <w:tabs>
        <w:tab w:val="clear" w:pos="720"/>
        <w:tab w:val="left" w:pos="360" w:leader="none"/>
      </w:tabs>
      <w:ind w:hanging="360" w:start="360"/>
    </w:pPr>
    <w:rPr/>
  </w:style>
  <w:style w:type="paragraph" w:styleId="ListBullet2">
    <w:name w:val="List Bullet 2"/>
    <w:basedOn w:val="Normal"/>
    <w:autoRedefine/>
    <w:pPr>
      <w:widowControl w:val="false"/>
      <w:tabs>
        <w:tab w:val="left" w:pos="720" w:leader="none"/>
      </w:tabs>
      <w:ind w:hanging="360" w:start="720"/>
    </w:pPr>
    <w:rPr/>
  </w:style>
  <w:style w:type="paragraph" w:styleId="ListBullet3">
    <w:name w:val="List Bullet 3"/>
    <w:basedOn w:val="Normal"/>
    <w:autoRedefine/>
    <w:pPr>
      <w:widowControl w:val="false"/>
      <w:tabs>
        <w:tab w:val="clear" w:pos="720"/>
        <w:tab w:val="left" w:pos="1080" w:leader="none"/>
      </w:tabs>
      <w:ind w:hanging="360" w:start="1080"/>
    </w:pPr>
    <w:rPr/>
  </w:style>
  <w:style w:type="paragraph" w:styleId="ListBullet4">
    <w:name w:val="List Bullet 4"/>
    <w:basedOn w:val="Normal"/>
    <w:autoRedefine/>
    <w:pPr>
      <w:widowControl w:val="false"/>
      <w:tabs>
        <w:tab w:val="clear" w:pos="720"/>
        <w:tab w:val="left" w:pos="1440" w:leader="none"/>
      </w:tabs>
      <w:ind w:hanging="360" w:start="1440"/>
    </w:pPr>
    <w:rPr/>
  </w:style>
  <w:style w:type="paragraph" w:styleId="ListBullet5">
    <w:name w:val="List Bullet 5"/>
    <w:basedOn w:val="Normal"/>
    <w:autoRedefine/>
    <w:pPr>
      <w:widowControl w:val="false"/>
      <w:tabs>
        <w:tab w:val="clear" w:pos="720"/>
        <w:tab w:val="left" w:pos="1800" w:leader="none"/>
      </w:tabs>
      <w:ind w:hanging="360" w:start="1800"/>
    </w:pPr>
    <w:rPr/>
  </w:style>
  <w:style w:type="paragraph" w:styleId="Signature">
    <w:name w:val="Signature"/>
    <w:basedOn w:val="Normal"/>
    <w:pPr>
      <w:widowControl w:val="false"/>
      <w:tabs>
        <w:tab w:val="clear" w:pos="720"/>
        <w:tab w:val="left" w:pos="4140" w:leader="none"/>
        <w:tab w:val="right" w:pos="8640" w:leader="none"/>
      </w:tabs>
      <w:spacing w:before="0" w:after="480"/>
      <w:ind w:hanging="360" w:start="4140"/>
    </w:pPr>
    <w:rPr/>
  </w:style>
  <w:style w:type="paragraph" w:styleId="Subtitle">
    <w:name w:val="Subtitle"/>
    <w:basedOn w:val="Normal"/>
    <w:qFormat/>
    <w:pPr>
      <w:widowControl w:val="false"/>
      <w:spacing w:before="0" w:after="60"/>
      <w:jc w:val="center"/>
    </w:pPr>
    <w:rPr/>
  </w:style>
  <w:style w:type="paragraph" w:styleId="toaheading">
    <w:name w:val="toa heading"/>
    <w:basedOn w:val="Normal"/>
    <w:next w:val="Normal"/>
    <w:qFormat/>
    <w:pPr>
      <w:widowControl w:val="false"/>
      <w:spacing w:before="120" w:after="0"/>
    </w:pPr>
    <w:rPr>
      <w:b/>
    </w:rPr>
  </w:style>
  <w:style w:type="paragraph" w:styleId="TOC4">
    <w:name w:val="toc 4"/>
    <w:basedOn w:val="Normal"/>
    <w:next w:val="Normal"/>
    <w:autoRedefine/>
    <w:pPr>
      <w:widowControl w:val="false"/>
      <w:ind w:hanging="720" w:start="1440" w:end="720"/>
    </w:pPr>
    <w:rPr/>
  </w:style>
  <w:style w:type="paragraph" w:styleId="TOC5">
    <w:name w:val="toc 5"/>
    <w:basedOn w:val="Normal"/>
    <w:next w:val="Normal"/>
    <w:autoRedefine/>
    <w:pPr>
      <w:widowControl w:val="false"/>
      <w:ind w:hanging="720" w:start="1440" w:end="720"/>
    </w:pPr>
    <w:rPr/>
  </w:style>
  <w:style w:type="paragraph" w:styleId="TOC6">
    <w:name w:val="toc 6"/>
    <w:basedOn w:val="Normal"/>
    <w:next w:val="Normal"/>
    <w:autoRedefine/>
    <w:pPr>
      <w:widowControl w:val="false"/>
      <w:ind w:hanging="720" w:start="1440" w:end="720"/>
    </w:pPr>
    <w:rPr/>
  </w:style>
  <w:style w:type="paragraph" w:styleId="TOC7">
    <w:name w:val="toc 7"/>
    <w:basedOn w:val="Normal"/>
    <w:next w:val="Normal"/>
    <w:autoRedefine/>
    <w:pPr>
      <w:widowControl w:val="false"/>
      <w:ind w:hanging="720" w:start="1440" w:end="720"/>
    </w:pPr>
    <w:rPr/>
  </w:style>
  <w:style w:type="paragraph" w:styleId="TOC8">
    <w:name w:val="toc 8"/>
    <w:basedOn w:val="Normal"/>
    <w:next w:val="Normal"/>
    <w:autoRedefine/>
    <w:pPr>
      <w:widowControl w:val="false"/>
      <w:ind w:hanging="720" w:start="1440" w:end="720"/>
    </w:pPr>
    <w:rPr/>
  </w:style>
  <w:style w:type="paragraph" w:styleId="TOC9">
    <w:name w:val="toc 9"/>
    <w:basedOn w:val="Normal"/>
    <w:next w:val="Normal"/>
    <w:autoRedefine/>
    <w:pPr>
      <w:widowControl w:val="false"/>
      <w:ind w:hanging="720" w:start="1440" w:end="720"/>
    </w:pPr>
    <w:rPr/>
  </w:style>
  <w:style w:type="paragraph" w:styleId="Header">
    <w:name w:val="header"/>
    <w:basedOn w:val="Normal"/>
    <w:pPr>
      <w:widowControl w:val="false"/>
      <w:tabs>
        <w:tab w:val="clear" w:pos="720"/>
        <w:tab w:val="center" w:pos="4320" w:leader="none"/>
        <w:tab w:val="right" w:pos="8640" w:leader="none"/>
      </w:tabs>
    </w:pPr>
    <w:rPr/>
  </w:style>
  <w:style w:type="paragraph" w:styleId="StayWithBTI2">
    <w:name w:val="StayWithBTI2"/>
    <w:basedOn w:val="Normal"/>
    <w:qFormat/>
    <w:pPr>
      <w:keepNext w:val="true"/>
      <w:widowControl w:val="false"/>
      <w:ind w:hanging="0" w:start="720"/>
    </w:pPr>
    <w:rPr/>
  </w:style>
  <w:style w:type="paragraph" w:styleId="DocID">
    <w:name w:val="DocID"/>
    <w:next w:val="Normal"/>
    <w:qFormat/>
    <w:pPr>
      <w:widowControl w:val="false"/>
      <w:bidi w:val="0"/>
    </w:pPr>
    <w:rPr>
      <w:rFonts w:ascii="Times New Roman" w:hAnsi="Times New Roman" w:eastAsia="Times New Roman" w:cs="Times New Roman"/>
      <w:color w:val="auto"/>
      <w:kern w:val="2"/>
      <w:sz w:val="16"/>
      <w:szCs w:val="24"/>
      <w:lang w:val="en-CA" w:eastAsia="zh-CN" w:bidi="hi-IN"/>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header" Target="header8.xml"/><Relationship Id="rId15" Type="http://schemas.openxmlformats.org/officeDocument/2006/relationships/footer" Target="footer6.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1560</Words>
  <Characters>10926</Characters>
  <CharactersWithSpaces>8741</CharactersWithSpaces>
  <Company>WSP&amp;R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2000-06-03T17:54:00Z</dcterms:created>
  <dc:creator>OBRIENP</dc:creator>
  <dc:description/>
  <cp:keywords>63235568.RED</cp:keywords>
  <dc:language>en-CA</dc:language>
  <cp:lastModifiedBy/>
  <cp:lastPrinted>2000-06-03T14:19:00Z</cp:lastPrinted>
  <dcterms:modified xsi:type="dcterms:W3CDTF">2000-06-03T17:54:00Z</dcterms:modified>
  <cp:revision>2</cp:revision>
  <dc:subject/>
  <dc:title>THIS DOCUMENT CONTAINS CONFIDENTIAL AND PROPRIETARY INFORMATION AND IS THE PROPERTY OF WARBURG DILLON READ LLC ("WARBURG DILLON READ")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Winthrop, Stimson, Putnam &amp; Roberts</vt:lpwstr>
  </property>
</Properties>
</file>