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Total Return Equity Swap</w:t>
      </w:r>
    </w:p>
    <w:p>
      <w:pPr>
        <w:pStyle w:val="Normal"/>
        <w:widowControl/>
        <w:jc w:val="center"/>
        <w:rPr>
          <w:i/>
          <w:i/>
          <w:sz w:val="24"/>
          <w:u w:val="single"/>
        </w:rPr>
      </w:pPr>
      <w:r>
        <w:rPr>
          <w:i/>
          <w:sz w:val="24"/>
          <w:u w:val="single"/>
        </w:rPr>
        <w:t>Summary of Indicative Terms as of May 24, 2000</w:t>
      </w:r>
    </w:p>
    <w:p>
      <w:pPr>
        <w:pStyle w:val="Normal"/>
        <w:widowControl/>
        <w:jc w:val="center"/>
        <w:rPr>
          <w:b/>
          <w:i/>
          <w:i/>
          <w:sz w:val="12"/>
          <w:u w:val="single"/>
        </w:rPr>
      </w:pPr>
      <w:r>
        <w:rPr>
          <w:b/>
          <w:i/>
          <w:sz w:val="12"/>
          <w:u w:val="single"/>
        </w:rPr>
      </w:r>
    </w:p>
    <w:p>
      <w:pPr>
        <w:pStyle w:val="Normal"/>
        <w:widowControl/>
        <w:jc w:val="both"/>
        <w:rPr/>
      </w:pPr>
      <w:r>
        <w:rPr>
          <w:i/>
        </w:rPr>
        <w:t>Party A:</w:t>
        <w:tab/>
      </w:r>
      <w:r>
        <w:rPr/>
        <w:tab/>
        <w:tab/>
        <w:tab/>
        <w:t>Lehman Brothers Finance S.A.</w:t>
      </w:r>
    </w:p>
    <w:p>
      <w:pPr>
        <w:pStyle w:val="Normal"/>
        <w:widowControl/>
        <w:jc w:val="both"/>
        <w:rPr/>
      </w:pPr>
      <w:r>
        <w:rPr/>
        <w:tab/>
        <w:tab/>
        <w:tab/>
        <w:tab/>
        <w:t>(Guaranteed by Lehman Brothers Holdings Inc.)</w:t>
      </w:r>
    </w:p>
    <w:p>
      <w:pPr>
        <w:pStyle w:val="Normal"/>
        <w:widowControl/>
        <w:jc w:val="both"/>
        <w:rPr>
          <w:sz w:val="12"/>
        </w:rPr>
      </w:pPr>
      <w:r>
        <w:rPr>
          <w:sz w:val="12"/>
        </w:rPr>
      </w:r>
    </w:p>
    <w:p>
      <w:pPr>
        <w:pStyle w:val="Normal"/>
        <w:widowControl/>
        <w:jc w:val="both"/>
        <w:rPr/>
      </w:pPr>
      <w:r>
        <w:rPr>
          <w:i/>
        </w:rPr>
        <w:t>Party B:</w:t>
      </w:r>
      <w:r>
        <w:rPr/>
        <w:tab/>
        <w:tab/>
        <w:tab/>
        <w:tab/>
        <w:t>Enron Corporation</w:t>
      </w:r>
    </w:p>
    <w:p>
      <w:pPr>
        <w:pStyle w:val="Normal"/>
        <w:widowControl/>
        <w:jc w:val="both"/>
        <w:rPr/>
      </w:pPr>
      <w:r>
        <w:rPr/>
      </w:r>
    </w:p>
    <w:p>
      <w:pPr>
        <w:pStyle w:val="Normal"/>
        <w:ind w:hanging="2880" w:start="2880" w:end="0"/>
        <w:rPr/>
      </w:pPr>
      <w:r>
        <w:rPr>
          <w:i/>
        </w:rPr>
        <w:t>Agent:</w:t>
        <w:tab/>
      </w:r>
      <w:r>
        <w:rPr/>
        <w:t>Lehman Brothers Inc. (“LBI”) is acting as agent on behalf of Lehman Brothers Finance S.A. ("LBF") for this Transaction.  LBI has no obligations, by guarantee, endorsement or otherwise, with respect to the performance of this Transaction by LBF.</w:t>
      </w:r>
    </w:p>
    <w:p>
      <w:pPr>
        <w:pStyle w:val="Normal"/>
        <w:widowControl/>
        <w:jc w:val="both"/>
        <w:rPr>
          <w:sz w:val="12"/>
        </w:rPr>
      </w:pPr>
      <w:r>
        <w:rPr>
          <w:sz w:val="12"/>
        </w:rPr>
      </w:r>
    </w:p>
    <w:p>
      <w:pPr>
        <w:pStyle w:val="Normal"/>
        <w:widowControl/>
        <w:ind w:hanging="2880" w:start="2880" w:end="0"/>
        <w:jc w:val="both"/>
        <w:rPr/>
      </w:pPr>
      <w:r>
        <w:rPr>
          <w:i/>
        </w:rPr>
        <w:t>Selected Security:</w:t>
      </w:r>
      <w:r>
        <w:rPr/>
        <w:tab/>
        <w:t>Common stock of Enron Corporation (“ENE”)</w:t>
      </w:r>
    </w:p>
    <w:p>
      <w:pPr>
        <w:pStyle w:val="Normal"/>
        <w:widowControl/>
        <w:jc w:val="both"/>
        <w:rPr>
          <w:sz w:val="12"/>
        </w:rPr>
      </w:pPr>
      <w:r>
        <w:rPr>
          <w:sz w:val="12"/>
        </w:rPr>
      </w:r>
    </w:p>
    <w:p>
      <w:pPr>
        <w:pStyle w:val="Normal"/>
        <w:widowControl/>
        <w:ind w:hanging="2880" w:start="2880" w:end="0"/>
        <w:jc w:val="both"/>
        <w:rPr/>
      </w:pPr>
      <w:r>
        <w:rPr>
          <w:i/>
        </w:rPr>
        <w:t>Number of Selected Securities:</w:t>
        <w:tab/>
      </w:r>
      <w:r>
        <w:rPr/>
        <w:t>Up to 4,000,000</w:t>
      </w:r>
    </w:p>
    <w:p>
      <w:pPr>
        <w:pStyle w:val="Normal"/>
        <w:widowControl/>
        <w:jc w:val="both"/>
        <w:rPr>
          <w:sz w:val="12"/>
        </w:rPr>
      </w:pPr>
      <w:r>
        <w:rPr/>
        <w:tab/>
      </w:r>
    </w:p>
    <w:p>
      <w:pPr>
        <w:pStyle w:val="Normal"/>
        <w:widowControl/>
        <w:ind w:hanging="2880" w:start="2880" w:end="0"/>
        <w:jc w:val="both"/>
        <w:rPr/>
      </w:pPr>
      <w:r>
        <w:rPr>
          <w:i/>
        </w:rPr>
        <w:t>Notional Amount:</w:t>
      </w:r>
      <w:r>
        <w:rPr/>
        <w:tab/>
        <w:t xml:space="preserve">The Notional Amount for a Calculation Period shall be an amount determined by the following calculation: </w:t>
      </w:r>
    </w:p>
    <w:p>
      <w:pPr>
        <w:pStyle w:val="Normal"/>
        <w:widowControl/>
        <w:jc w:val="both"/>
        <w:rPr>
          <w:sz w:val="12"/>
        </w:rPr>
      </w:pPr>
      <w:r>
        <w:rPr>
          <w:sz w:val="12"/>
        </w:rPr>
      </w:r>
    </w:p>
    <w:p>
      <w:pPr>
        <w:pStyle w:val="Normal"/>
        <w:widowControl/>
        <w:ind w:firstLine="720" w:start="2160" w:end="0"/>
        <w:jc w:val="both"/>
        <w:rPr/>
      </w:pPr>
      <w:r>
        <w:rPr>
          <w:i/>
          <w:sz w:val="24"/>
        </w:rPr>
        <w:t xml:space="preserve">S </w:t>
      </w:r>
      <w:r>
        <w:rPr>
          <w:sz w:val="22"/>
        </w:rPr>
        <w:t>x</w:t>
      </w:r>
      <w:r>
        <w:rPr>
          <w:i/>
          <w:sz w:val="24"/>
        </w:rPr>
        <w:t xml:space="preserve"> P</w:t>
      </w:r>
      <w:r>
        <w:rPr/>
        <w:t xml:space="preserve"> </w:t>
      </w:r>
    </w:p>
    <w:p>
      <w:pPr>
        <w:pStyle w:val="Normal"/>
        <w:widowControl/>
        <w:jc w:val="both"/>
        <w:rPr>
          <w:sz w:val="12"/>
        </w:rPr>
      </w:pPr>
      <w:r>
        <w:rPr>
          <w:sz w:val="12"/>
        </w:rPr>
      </w:r>
    </w:p>
    <w:p>
      <w:pPr>
        <w:pStyle w:val="Normal"/>
        <w:widowControl/>
        <w:ind w:firstLine="720" w:start="2160" w:end="0"/>
        <w:jc w:val="both"/>
        <w:rPr/>
      </w:pPr>
      <w:r>
        <w:rPr/>
        <w:t>Where,</w:t>
      </w:r>
    </w:p>
    <w:p>
      <w:pPr>
        <w:pStyle w:val="Normal"/>
        <w:widowControl/>
        <w:ind w:hanging="2880" w:start="2880" w:end="0"/>
        <w:jc w:val="both"/>
        <w:rPr/>
      </w:pPr>
      <w:r>
        <w:rPr/>
        <w:tab/>
        <w:t>S = Number of Selected Securities</w:t>
      </w:r>
    </w:p>
    <w:p>
      <w:pPr>
        <w:pStyle w:val="Normal"/>
        <w:widowControl/>
        <w:ind w:hanging="2880" w:start="2880" w:end="0"/>
        <w:jc w:val="both"/>
        <w:rPr/>
      </w:pPr>
      <w:r>
        <w:rPr/>
        <w:tab/>
        <w:t>P = Closing level of the Selected Security on the Equity Valuation Date for the previous Calculation Period, except for the initial Calculation Period the closing price of the Selected Security will be replaced by the average execution price at which Party A establishes its hedge.</w:t>
      </w:r>
    </w:p>
    <w:p>
      <w:pPr>
        <w:pStyle w:val="Normal"/>
        <w:widowControl/>
        <w:jc w:val="both"/>
        <w:rPr>
          <w:sz w:val="12"/>
        </w:rPr>
      </w:pPr>
      <w:r>
        <w:rPr>
          <w:sz w:val="12"/>
        </w:rPr>
      </w:r>
    </w:p>
    <w:p>
      <w:pPr>
        <w:pStyle w:val="Normal"/>
        <w:widowControl/>
        <w:jc w:val="both"/>
        <w:rPr/>
      </w:pPr>
      <w:r>
        <w:rPr>
          <w:i/>
        </w:rPr>
        <w:t>Trade Date:</w:t>
      </w:r>
      <w:r>
        <w:rPr/>
        <w:tab/>
        <w:tab/>
        <w:tab/>
        <w:t>TBD</w:t>
      </w:r>
    </w:p>
    <w:p>
      <w:pPr>
        <w:pStyle w:val="Normal"/>
        <w:widowControl/>
        <w:jc w:val="both"/>
        <w:rPr>
          <w:sz w:val="12"/>
        </w:rPr>
      </w:pPr>
      <w:r>
        <w:rPr>
          <w:sz w:val="12"/>
        </w:rPr>
      </w:r>
    </w:p>
    <w:p>
      <w:pPr>
        <w:pStyle w:val="Normal"/>
        <w:widowControl/>
        <w:jc w:val="both"/>
        <w:rPr/>
      </w:pPr>
      <w:r>
        <w:rPr>
          <w:i/>
        </w:rPr>
        <w:t>Effective Date:</w:t>
      </w:r>
      <w:r>
        <w:rPr/>
        <w:tab/>
        <w:tab/>
        <w:tab/>
        <w:t>Three business days after the Trade Date</w:t>
      </w:r>
    </w:p>
    <w:p>
      <w:pPr>
        <w:pStyle w:val="Normal"/>
        <w:widowControl/>
        <w:jc w:val="both"/>
        <w:rPr>
          <w:sz w:val="12"/>
        </w:rPr>
      </w:pPr>
      <w:r>
        <w:rPr>
          <w:sz w:val="12"/>
        </w:rPr>
      </w:r>
    </w:p>
    <w:p>
      <w:pPr>
        <w:pStyle w:val="Normal"/>
        <w:widowControl/>
        <w:jc w:val="both"/>
        <w:rPr/>
      </w:pPr>
      <w:r>
        <w:rPr>
          <w:i/>
        </w:rPr>
        <w:t>Final Valuation Date:</w:t>
      </w:r>
      <w:r>
        <w:rPr/>
        <w:tab/>
        <w:tab/>
        <w:t>Three business days before the Termination Date</w:t>
      </w:r>
    </w:p>
    <w:p>
      <w:pPr>
        <w:pStyle w:val="Normal"/>
        <w:widowControl/>
        <w:jc w:val="both"/>
        <w:rPr>
          <w:sz w:val="12"/>
        </w:rPr>
      </w:pPr>
      <w:r>
        <w:rPr>
          <w:sz w:val="12"/>
        </w:rPr>
      </w:r>
    </w:p>
    <w:p>
      <w:pPr>
        <w:pStyle w:val="Normal"/>
        <w:widowControl/>
        <w:jc w:val="both"/>
        <w:rPr/>
      </w:pPr>
      <w:r>
        <w:rPr>
          <w:i/>
        </w:rPr>
        <w:t>Termination Date:</w:t>
      </w:r>
      <w:r>
        <w:rPr/>
        <w:tab/>
        <w:tab/>
        <w:t xml:space="preserve">1 Year </w:t>
      </w:r>
    </w:p>
    <w:p>
      <w:pPr>
        <w:pStyle w:val="Normal"/>
        <w:widowControl/>
        <w:jc w:val="both"/>
        <w:rPr>
          <w:sz w:val="12"/>
        </w:rPr>
      </w:pPr>
      <w:r>
        <w:rPr>
          <w:sz w:val="12"/>
        </w:rPr>
      </w:r>
    </w:p>
    <w:p>
      <w:pPr>
        <w:pStyle w:val="Normal"/>
        <w:widowControl/>
        <w:jc w:val="both"/>
        <w:rPr/>
      </w:pPr>
      <w:r>
        <w:rPr>
          <w:i/>
        </w:rPr>
        <w:t>Equity Valuation Dates:</w:t>
      </w:r>
      <w:r>
        <w:rPr/>
        <w:tab/>
        <w:tab/>
        <w:t>Three business days before the Equity Payment Dates</w:t>
      </w:r>
    </w:p>
    <w:p>
      <w:pPr>
        <w:pStyle w:val="Normal"/>
        <w:widowControl/>
        <w:jc w:val="both"/>
        <w:rPr>
          <w:sz w:val="12"/>
        </w:rPr>
      </w:pPr>
      <w:r>
        <w:rPr>
          <w:sz w:val="12"/>
        </w:rPr>
      </w:r>
    </w:p>
    <w:p>
      <w:pPr>
        <w:pStyle w:val="Normal"/>
        <w:widowControl/>
        <w:jc w:val="both"/>
        <w:rPr/>
      </w:pPr>
      <w:r>
        <w:rPr>
          <w:i/>
        </w:rPr>
        <w:t>Equity Payment Dates:</w:t>
      </w:r>
      <w:r>
        <w:rPr/>
        <w:tab/>
        <w:tab/>
        <w:t xml:space="preserve">Monthly </w:t>
      </w:r>
    </w:p>
    <w:p>
      <w:pPr>
        <w:pStyle w:val="Normal"/>
        <w:widowControl/>
        <w:jc w:val="both"/>
        <w:rPr>
          <w:sz w:val="12"/>
        </w:rPr>
      </w:pPr>
      <w:r>
        <w:rPr>
          <w:sz w:val="12"/>
        </w:rPr>
      </w:r>
    </w:p>
    <w:p>
      <w:pPr>
        <w:pStyle w:val="Normal"/>
        <w:widowControl/>
        <w:ind w:hanging="2880" w:start="2880" w:end="0"/>
        <w:jc w:val="both"/>
        <w:rPr/>
      </w:pPr>
      <w:r>
        <w:rPr>
          <w:i/>
        </w:rPr>
        <w:t>LIBOR Reset Date:</w:t>
      </w:r>
      <w:r>
        <w:rPr/>
        <w:tab/>
        <w:t>The first day of each Calculation Period</w:t>
      </w:r>
    </w:p>
    <w:p>
      <w:pPr>
        <w:pStyle w:val="Normal"/>
        <w:widowControl/>
        <w:jc w:val="both"/>
        <w:rPr>
          <w:sz w:val="12"/>
        </w:rPr>
      </w:pPr>
      <w:r>
        <w:rPr>
          <w:sz w:val="12"/>
        </w:rPr>
      </w:r>
    </w:p>
    <w:p>
      <w:pPr>
        <w:pStyle w:val="Normal"/>
        <w:widowControl/>
        <w:jc w:val="both"/>
        <w:rPr/>
      </w:pPr>
      <w:r>
        <w:rPr>
          <w:i/>
        </w:rPr>
        <w:t>LIBOR Payment Dates:</w:t>
        <w:tab/>
      </w:r>
      <w:r>
        <w:rPr/>
        <w:tab/>
        <w:t>Same as Equity Payment Dates</w:t>
      </w:r>
    </w:p>
    <w:p>
      <w:pPr>
        <w:pStyle w:val="Normal"/>
        <w:widowControl/>
        <w:jc w:val="both"/>
        <w:rPr>
          <w:sz w:val="12"/>
        </w:rPr>
      </w:pPr>
      <w:r>
        <w:rPr>
          <w:sz w:val="12"/>
        </w:rPr>
      </w:r>
    </w:p>
    <w:p>
      <w:pPr>
        <w:pStyle w:val="Normal"/>
        <w:widowControl/>
        <w:ind w:hanging="2880" w:start="2880" w:end="0"/>
        <w:jc w:val="both"/>
        <w:rPr/>
      </w:pPr>
      <w:r>
        <w:rPr>
          <w:i/>
        </w:rPr>
        <w:t>Reference LIBOR:</w:t>
      </w:r>
      <w:r>
        <w:rPr/>
        <w:tab/>
        <w:t>One-month LIBOR as set forth on Telerate page 3750 on the second business day prior to each LIBOR Reset Date</w:t>
      </w:r>
    </w:p>
    <w:p>
      <w:pPr>
        <w:pStyle w:val="Normal"/>
        <w:widowControl/>
        <w:jc w:val="both"/>
        <w:rPr>
          <w:sz w:val="12"/>
        </w:rPr>
      </w:pPr>
      <w:r>
        <w:rPr>
          <w:sz w:val="12"/>
        </w:rPr>
      </w:r>
    </w:p>
    <w:p>
      <w:pPr>
        <w:pStyle w:val="Normal"/>
        <w:widowControl/>
        <w:ind w:hanging="2880" w:start="2880" w:end="0"/>
        <w:jc w:val="both"/>
        <w:rPr/>
      </w:pPr>
      <w:r>
        <w:rPr>
          <w:i/>
        </w:rPr>
        <w:t>Calculation Period:</w:t>
      </w:r>
      <w:r>
        <w:rPr/>
        <w:tab/>
        <w:t>Each Calculation Period shall extend from and include, one Equity Payment Date but exclude, the next Equity Payment Date except that the initial Calculation Period will commence on and include the Effective Date and the final Calculation Period will end on, but exclude the Termination Date.</w:t>
      </w:r>
    </w:p>
    <w:p>
      <w:pPr>
        <w:pStyle w:val="Normal"/>
        <w:widowControl/>
        <w:jc w:val="both"/>
        <w:rPr>
          <w:sz w:val="12"/>
        </w:rPr>
      </w:pPr>
      <w:r>
        <w:rPr>
          <w:sz w:val="12"/>
        </w:rPr>
      </w:r>
    </w:p>
    <w:p>
      <w:pPr>
        <w:pStyle w:val="Normal"/>
        <w:widowControl/>
        <w:ind w:hanging="2880" w:start="2880" w:end="-288"/>
        <w:jc w:val="both"/>
        <w:rPr/>
      </w:pPr>
      <w:r>
        <w:rPr>
          <w:i/>
        </w:rPr>
        <w:t>Reset Payments by Party A:</w:t>
      </w:r>
      <w:r>
        <w:rPr/>
        <w:tab/>
        <w:t>The Capital Appreciation (if any) of the Selected Security plus Dividends</w:t>
      </w:r>
    </w:p>
    <w:p>
      <w:pPr>
        <w:pStyle w:val="Normal"/>
        <w:widowControl/>
        <w:jc w:val="both"/>
        <w:rPr>
          <w:sz w:val="12"/>
        </w:rPr>
      </w:pPr>
      <w:r>
        <w:rPr>
          <w:sz w:val="12"/>
        </w:rPr>
      </w:r>
    </w:p>
    <w:p>
      <w:pPr>
        <w:pStyle w:val="Normal"/>
        <w:widowControl/>
        <w:ind w:hanging="2880" w:start="2880" w:end="0"/>
        <w:jc w:val="both"/>
        <w:rPr/>
      </w:pPr>
      <w:r>
        <w:rPr>
          <w:i/>
        </w:rPr>
        <w:t>Reset Payments by Party B:</w:t>
      </w:r>
      <w:r>
        <w:rPr/>
        <w:tab/>
        <w:t xml:space="preserve">Notional Amount x (LIBOR </w:t>
      </w:r>
      <w:r>
        <w:rPr>
          <w:b/>
        </w:rPr>
        <w:t xml:space="preserve">plus </w:t>
      </w:r>
      <w:r>
        <w:rPr/>
        <w:t>Spread) calculated on an actual/360 day basis plus the Capital Depreciation (if any) of the Selected Security</w:t>
      </w:r>
    </w:p>
    <w:p>
      <w:pPr>
        <w:pStyle w:val="Normal"/>
        <w:widowControl/>
        <w:jc w:val="both"/>
        <w:rPr>
          <w:sz w:val="12"/>
        </w:rPr>
      </w:pPr>
      <w:r>
        <w:rPr>
          <w:sz w:val="12"/>
        </w:rPr>
      </w:r>
    </w:p>
    <w:p>
      <w:pPr>
        <w:pStyle w:val="Normal"/>
        <w:widowControl/>
        <w:ind w:hanging="2880" w:start="2880" w:end="-288"/>
        <w:jc w:val="both"/>
        <w:rPr/>
      </w:pPr>
      <w:r>
        <w:rPr>
          <w:i/>
        </w:rPr>
        <w:t>Dividends:</w:t>
      </w:r>
      <w:r>
        <w:rPr/>
        <w:t xml:space="preserve"> </w:t>
        <w:tab/>
        <w:t>If a holder of record of the Selected Security (“the Shares”) would be entitled during the period from but excluding the Effective Date to and including the Termination Date to receive a dividend from the Issuer of those Shares, Party A shall pay to Party B the Dividend Amount net of any stamp tax or duties, fees or commissions payable thereof, on the Equity Payment Date immediately following the date upon which holders of record receive such dividend payment from the Issuer.</w:t>
      </w:r>
    </w:p>
    <w:p>
      <w:pPr>
        <w:pStyle w:val="Normal"/>
        <w:widowControl/>
        <w:ind w:hanging="2880" w:start="2880" w:end="0"/>
        <w:jc w:val="both"/>
        <w:rPr>
          <w:i/>
          <w:i/>
          <w:sz w:val="14"/>
        </w:rPr>
      </w:pPr>
      <w:r>
        <w:rPr>
          <w:i/>
          <w:sz w:val="14"/>
        </w:rPr>
      </w:r>
    </w:p>
    <w:p>
      <w:pPr>
        <w:pStyle w:val="Normal"/>
        <w:widowControl/>
        <w:ind w:hanging="2880" w:start="2880" w:end="-288"/>
        <w:jc w:val="both"/>
        <w:rPr/>
      </w:pPr>
      <w:r>
        <w:rPr>
          <w:i/>
        </w:rPr>
        <w:t>Spread:</w:t>
      </w:r>
      <w:r>
        <w:rPr/>
        <w:tab/>
        <w:t>70 bps</w:t>
      </w:r>
    </w:p>
    <w:p>
      <w:pPr>
        <w:pStyle w:val="Normal"/>
        <w:widowControl/>
        <w:ind w:hanging="2880" w:start="2880" w:end="-288"/>
        <w:jc w:val="both"/>
        <w:rPr>
          <w:i/>
          <w:i/>
        </w:rPr>
      </w:pPr>
      <w:r>
        <w:rPr>
          <w:i/>
        </w:rPr>
      </w:r>
    </w:p>
    <w:p>
      <w:pPr>
        <w:pStyle w:val="Normal"/>
        <w:widowControl/>
        <w:ind w:hanging="2880" w:start="2880" w:end="0"/>
        <w:jc w:val="both"/>
        <w:rPr/>
      </w:pPr>
      <w:r>
        <w:rPr>
          <w:i/>
        </w:rPr>
        <w:t>Execution Fee:</w:t>
      </w:r>
      <w:r>
        <w:rPr/>
        <w:tab/>
        <w:t>Party B shall pay Party A a $0.03/share execution fee at the establishment of Party A’s hedge.</w:t>
      </w:r>
    </w:p>
    <w:p>
      <w:pPr>
        <w:pStyle w:val="Normal"/>
        <w:widowControl/>
        <w:jc w:val="both"/>
        <w:rPr>
          <w:sz w:val="12"/>
        </w:rPr>
      </w:pPr>
      <w:r>
        <w:rPr>
          <w:sz w:val="12"/>
        </w:rPr>
      </w:r>
    </w:p>
    <w:p>
      <w:pPr>
        <w:pStyle w:val="BodyText2"/>
        <w:widowControl/>
        <w:rPr/>
      </w:pPr>
      <w:r>
        <w:rPr>
          <w:i/>
        </w:rPr>
        <w:t>Capital Appreciation:</w:t>
      </w:r>
      <w:r>
        <w:rPr/>
        <w:tab/>
        <w:t>On each Equity Payment Date, Party A will pay to Party B a payment in cash based on the appreciation of the Selected Security calculated as follows:</w:t>
      </w:r>
    </w:p>
    <w:p>
      <w:pPr>
        <w:pStyle w:val="Normal"/>
        <w:widowControl/>
        <w:tabs>
          <w:tab w:val="clear" w:pos="720"/>
          <w:tab w:val="left" w:pos="2880" w:leader="none"/>
        </w:tabs>
        <w:rPr/>
      </w:pPr>
      <w:r>
        <w:rPr/>
        <w:tab/>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4284"/>
        <w:rPr/>
      </w:pPr>
      <w:r>
        <w:rPr/>
        <w:t>The greater of</w:t>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4284"/>
        <w:rPr/>
      </w:pPr>
      <w:r>
        <w:rPr/>
        <w:t>a) 0; or:</w:t>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4284"/>
        <w:rPr/>
      </w:pPr>
      <w:r>
        <w:rPr/>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4284"/>
        <w:rPr/>
      </w:pPr>
      <w:r>
        <w:rPr/>
        <w:t xml:space="preserve">b) S x </w:t>
      </w:r>
      <w:r>
        <w:rPr/>
      </w:r>
      <m:oMath xmlns:m="http://schemas.openxmlformats.org/officeDocument/2006/math">
        <m:d>
          <m:dPr>
            <m:begChr m:val="["/>
            <m:endChr m:val="]"/>
          </m:dPr>
          <m:e>
            <m:sSub>
              <m:e>
                <m:r>
                  <m:t xml:space="preserve">P</m:t>
                </m:r>
              </m:e>
              <m:sub>
                <m:r>
                  <m:t xml:space="preserve">t</m:t>
                </m:r>
              </m:sub>
            </m:sSub>
            <m:r>
              <m:t xml:space="preserve">−</m:t>
            </m:r>
            <m:sSub>
              <m:e>
                <m:r>
                  <m:t xml:space="preserve">P</m:t>
                </m:r>
              </m:e>
              <m:sub>
                <m:r>
                  <m:t xml:space="preserve">t</m:t>
                </m:r>
                <m:r>
                  <m:t xml:space="preserve">−</m:t>
                </m:r>
                <m:r>
                  <m:t xml:space="preserve">1</m:t>
                </m:r>
              </m:sub>
            </m:sSub>
          </m:e>
        </m:d>
      </m:oMath>
    </w:p>
    <w:p>
      <w:pPr>
        <w:pStyle w:val="Normal"/>
        <w:widowControl/>
        <w:jc w:val="both"/>
        <w:rPr>
          <w:sz w:val="12"/>
        </w:rPr>
      </w:pPr>
      <w:r>
        <w:rPr/>
        <w:tab/>
      </w:r>
    </w:p>
    <w:p>
      <w:pPr>
        <w:pStyle w:val="Normal"/>
        <w:widowControl/>
        <w:tabs>
          <w:tab w:val="clear" w:pos="720"/>
          <w:tab w:val="left" w:pos="2880" w:leader="none"/>
        </w:tabs>
        <w:ind w:hanging="2880" w:start="2880" w:end="0"/>
        <w:rPr/>
      </w:pPr>
      <w:r>
        <w:rPr>
          <w:i/>
        </w:rPr>
        <w:t>Capital Depreciation:</w:t>
      </w:r>
      <w:r>
        <w:rPr/>
        <w:tab/>
        <w:t>On each Equity Payment Date, Party A will receive from Party B a payment in cash based on the depreciation of the Selected Security calculated as follows:</w:t>
      </w:r>
    </w:p>
    <w:p>
      <w:pPr>
        <w:pStyle w:val="Normal"/>
        <w:widowControl/>
        <w:tabs>
          <w:tab w:val="clear" w:pos="720"/>
          <w:tab w:val="left" w:pos="2880" w:leader="none"/>
        </w:tabs>
        <w:rPr/>
      </w:pPr>
      <w:r>
        <w:rPr/>
        <w:tab/>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4284"/>
        <w:rPr/>
      </w:pPr>
      <w:r>
        <w:rPr/>
        <w:t>The greater of</w:t>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4284"/>
        <w:rPr/>
      </w:pPr>
      <w:r>
        <w:rPr/>
        <w:t>a) 0; or:</w:t>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4284"/>
        <w:rPr/>
      </w:pPr>
      <w:r>
        <w:rPr/>
      </w:r>
    </w:p>
    <w:p>
      <w:pPr>
        <w:pStyle w:val="Normal"/>
        <w:widowControl/>
        <w:pBdr>
          <w:top w:val="single" w:sz="6" w:space="1" w:color="000000"/>
          <w:left w:val="single" w:sz="6" w:space="1" w:color="000000"/>
          <w:bottom w:val="single" w:sz="6" w:space="1" w:color="000000"/>
          <w:right w:val="single" w:sz="6" w:space="1" w:color="000000"/>
        </w:pBdr>
        <w:tabs>
          <w:tab w:val="clear" w:pos="720"/>
          <w:tab w:val="left" w:pos="0" w:leader="none"/>
          <w:tab w:val="left" w:pos="2880" w:leader="none"/>
        </w:tabs>
        <w:ind w:start="2880" w:end="4284"/>
        <w:rPr/>
      </w:pPr>
      <w:r>
        <w:rPr/>
        <w:t xml:space="preserve">b) S x </w:t>
      </w:r>
      <w:r>
        <w:rPr/>
      </w:r>
      <m:oMath xmlns:m="http://schemas.openxmlformats.org/officeDocument/2006/math">
        <m:d>
          <m:dPr>
            <m:begChr m:val="["/>
            <m:endChr m:val="]"/>
          </m:dPr>
          <m:e>
            <m:sSub>
              <m:e>
                <m:r>
                  <m:t xml:space="preserve">P</m:t>
                </m:r>
              </m:e>
              <m:sub>
                <m:r>
                  <m:t xml:space="preserve">t</m:t>
                </m:r>
                <m:r>
                  <m:t xml:space="preserve">−</m:t>
                </m:r>
                <m:r>
                  <m:t xml:space="preserve">1</m:t>
                </m:r>
              </m:sub>
            </m:sSub>
            <m:r>
              <m:t xml:space="preserve">−</m:t>
            </m:r>
            <m:sSub>
              <m:e>
                <m:r>
                  <m:t xml:space="preserve">P</m:t>
                </m:r>
              </m:e>
              <m:sub>
                <m:r>
                  <m:t xml:space="preserve">t</m:t>
                </m:r>
              </m:sub>
            </m:sSub>
          </m:e>
        </m:d>
      </m:oMath>
    </w:p>
    <w:p>
      <w:pPr>
        <w:pStyle w:val="Normal"/>
        <w:widowControl/>
        <w:tabs>
          <w:tab w:val="clear" w:pos="720"/>
          <w:tab w:val="left" w:pos="2880" w:leader="none"/>
        </w:tabs>
        <w:rPr/>
      </w:pPr>
      <w:r>
        <w:rPr/>
        <w:tab/>
        <w:t>where:</w:t>
      </w:r>
    </w:p>
    <w:p>
      <w:pPr>
        <w:pStyle w:val="Normal"/>
        <w:widowControl/>
        <w:jc w:val="both"/>
        <w:rPr>
          <w:sz w:val="12"/>
        </w:rPr>
      </w:pPr>
      <w:r>
        <w:rPr/>
        <w:tab/>
      </w:r>
    </w:p>
    <w:p>
      <w:pPr>
        <w:pStyle w:val="Normal"/>
        <w:widowControl/>
        <w:tabs>
          <w:tab w:val="clear" w:pos="720"/>
          <w:tab w:val="left" w:pos="2880" w:leader="none"/>
        </w:tabs>
        <w:rPr/>
      </w:pPr>
      <w:r>
        <w:rPr/>
        <w:tab/>
      </w:r>
      <w:r>
        <w:rPr>
          <w:b/>
        </w:rPr>
        <w:t xml:space="preserve">S </w:t>
      </w:r>
      <w:r>
        <w:rPr/>
        <w:t>is the Number of Selected Securities</w:t>
      </w:r>
    </w:p>
    <w:p>
      <w:pPr>
        <w:pStyle w:val="Normal"/>
        <w:widowControl/>
        <w:ind w:start="2880" w:end="-144"/>
        <w:jc w:val="both"/>
        <w:rPr/>
      </w:pPr>
      <w:r>
        <w:rPr>
          <w:b/>
        </w:rPr>
        <w:t>P</w:t>
      </w:r>
      <w:r>
        <w:rPr>
          <w:b/>
          <w:i/>
          <w:position w:val="-6"/>
        </w:rPr>
        <w:t>t</w:t>
      </w:r>
      <w:r>
        <w:rPr/>
        <w:t xml:space="preserve"> is the closing level of the Selected Security on the Equity Valuation Date in the relevant Calculation Period.  If the Calculation Period is the final Calculation Period then </w:t>
      </w:r>
      <w:r>
        <w:rPr>
          <w:i/>
          <w:sz w:val="24"/>
        </w:rPr>
        <w:t>P</w:t>
      </w:r>
      <w:r>
        <w:rPr>
          <w:i/>
          <w:sz w:val="24"/>
          <w:vertAlign w:val="subscript"/>
        </w:rPr>
        <w:t>t</w:t>
      </w:r>
      <w:r>
        <w:rPr/>
        <w:t xml:space="preserve"> is the average VWAP on the five trading days up to and including the Final Valuation Date less $0.055/share.</w:t>
      </w:r>
    </w:p>
    <w:p>
      <w:pPr>
        <w:pStyle w:val="Normal"/>
        <w:widowControl/>
        <w:ind w:start="2880" w:end="-144"/>
        <w:jc w:val="both"/>
        <w:rPr/>
      </w:pPr>
      <w:r>
        <w:rPr>
          <w:b/>
        </w:rPr>
        <w:t>P</w:t>
      </w:r>
      <w:r>
        <w:rPr>
          <w:b/>
          <w:i/>
          <w:position w:val="-6"/>
        </w:rPr>
        <w:t>t-1</w:t>
      </w:r>
      <w:r>
        <w:rPr/>
        <w:t xml:space="preserve"> is</w:t>
      </w:r>
      <w:r>
        <w:rPr>
          <w:i/>
          <w:sz w:val="24"/>
        </w:rPr>
        <w:t xml:space="preserve"> </w:t>
      </w:r>
      <w:r>
        <w:rPr/>
        <w:t xml:space="preserve">the closing price of the Selected Security on the Equity Valuation Date for the previous Calculation Period.  If the Calculation Period is the initial Calculation Period then </w:t>
      </w:r>
      <w:r>
        <w:rPr>
          <w:i/>
          <w:sz w:val="24"/>
        </w:rPr>
        <w:t>P</w:t>
      </w:r>
      <w:r>
        <w:rPr>
          <w:i/>
          <w:sz w:val="24"/>
          <w:vertAlign w:val="subscript"/>
        </w:rPr>
        <w:t>t-1</w:t>
      </w:r>
      <w:r>
        <w:rPr/>
        <w:t xml:space="preserve"> is the average execution price of the Selected Security at which Party A establishes its hedge.</w:t>
      </w:r>
    </w:p>
    <w:p>
      <w:pPr>
        <w:pStyle w:val="Normal"/>
        <w:widowControl/>
        <w:jc w:val="both"/>
        <w:rPr>
          <w:sz w:val="12"/>
        </w:rPr>
      </w:pPr>
      <w:r>
        <w:rPr>
          <w:sz w:val="12"/>
        </w:rPr>
      </w:r>
    </w:p>
    <w:p>
      <w:pPr>
        <w:pStyle w:val="Normal"/>
        <w:widowControl/>
        <w:ind w:hanging="2880" w:start="2880" w:end="0"/>
        <w:jc w:val="both"/>
        <w:rPr/>
      </w:pPr>
      <w:r>
        <w:rPr>
          <w:i/>
        </w:rPr>
        <w:t>Calculation Agent:</w:t>
      </w:r>
      <w:r>
        <w:rPr/>
        <w:tab/>
        <w:t>Lehman Brothers Inc.</w:t>
      </w:r>
    </w:p>
    <w:p>
      <w:pPr>
        <w:pStyle w:val="Normal"/>
        <w:widowControl/>
        <w:ind w:hanging="2880" w:start="2880" w:end="0"/>
        <w:jc w:val="both"/>
        <w:rPr>
          <w:sz w:val="14"/>
        </w:rPr>
      </w:pPr>
      <w:r>
        <w:rPr>
          <w:sz w:val="14"/>
        </w:rPr>
      </w:r>
    </w:p>
    <w:p>
      <w:pPr>
        <w:pStyle w:val="Normal"/>
        <w:widowControl/>
        <w:ind w:hanging="2880" w:start="2880" w:end="0"/>
        <w:jc w:val="both"/>
        <w:rPr/>
      </w:pPr>
      <w:r>
        <w:rPr>
          <w:i/>
        </w:rPr>
        <w:t>Currency:</w:t>
      </w:r>
      <w:r>
        <w:rPr/>
        <w:tab/>
        <w:t>All Payments made in USD</w:t>
      </w:r>
    </w:p>
    <w:p>
      <w:pPr>
        <w:pStyle w:val="Normal"/>
        <w:widowControl/>
        <w:ind w:hanging="2880" w:start="2880" w:end="0"/>
        <w:jc w:val="both"/>
        <w:rPr>
          <w:sz w:val="14"/>
        </w:rPr>
      </w:pPr>
      <w:r>
        <w:rPr>
          <w:sz w:val="14"/>
        </w:rPr>
      </w:r>
    </w:p>
    <w:p>
      <w:pPr>
        <w:pStyle w:val="Normal"/>
        <w:widowControl/>
        <w:ind w:hanging="2880" w:start="2880" w:end="0"/>
        <w:jc w:val="both"/>
        <w:rPr/>
      </w:pPr>
      <w:r>
        <w:rPr>
          <w:i/>
        </w:rPr>
        <w:t>Early Termination:</w:t>
      </w:r>
      <w:r>
        <w:rPr/>
        <w:tab/>
        <w:t xml:space="preserve">Both parties shall have the right, in the event either party’s senior credit rating falls below BBB as determined by Standard &amp; Poor’s and Baa2 as determined by Moody’s, to elect to terminate the trade early. </w:t>
      </w:r>
    </w:p>
    <w:p>
      <w:pPr>
        <w:pStyle w:val="Normal"/>
        <w:widowControl/>
        <w:ind w:hanging="2880" w:start="2880" w:end="0"/>
        <w:jc w:val="both"/>
        <w:rPr>
          <w:i/>
          <w:i/>
          <w:sz w:val="14"/>
        </w:rPr>
      </w:pPr>
      <w:r>
        <w:rPr>
          <w:i/>
          <w:sz w:val="14"/>
        </w:rPr>
      </w:r>
    </w:p>
    <w:p>
      <w:pPr>
        <w:pStyle w:val="Normal"/>
        <w:widowControl/>
        <w:ind w:hanging="2880" w:start="2880" w:end="0"/>
        <w:jc w:val="both"/>
        <w:rPr/>
      </w:pPr>
      <w:r>
        <w:rPr>
          <w:i/>
        </w:rPr>
        <w:t>Documentation:</w:t>
      </w:r>
      <w:r>
        <w:rPr/>
        <w:tab/>
        <w:t>ISDA, Authority Documents</w:t>
      </w:r>
    </w:p>
    <w:sectPr>
      <w:headerReference w:type="default" r:id="rId2"/>
      <w:footerReference w:type="default" r:id="rId3"/>
      <w:type w:val="nextPage"/>
      <w:pgSz w:w="12240" w:h="15840"/>
      <w:pgMar w:left="1728" w:right="172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noteText"/>
      <w:widowControl/>
      <w:pBdr>
        <w:bottom w:val="single" w:sz="6" w:space="0" w:color="000000"/>
      </w:pBdr>
      <w:rPr>
        <w:sz w:val="16"/>
      </w:rPr>
    </w:pPr>
    <w:r>
      <w:rPr>
        <w:sz w:val="16"/>
      </w:rPr>
    </w:r>
  </w:p>
  <w:p>
    <w:pPr>
      <w:pStyle w:val="Normal"/>
      <w:widowControl/>
      <w:rPr>
        <w:sz w:val="16"/>
      </w:rPr>
    </w:pPr>
    <w:r>
      <w:rPr>
        <w:sz w:val="16"/>
      </w:rPr>
      <w:t>All term sheets are indicative only.  Actual terms are subject to confirmation by Lehman Brothers Finance, S.A.  Clients are advised to make an independent review and reach their own conclusions regarding the legal, credit, tax and accounting aspects of this transaction relating to their assets, liabilities, or other risk management objectives and risk tolerance.  Although the indicative information set forth is reflective of the terms, as of the specified date under which Lehman Brothers believes a transaction might be structured, no assurance can be given that such a transaction could, in fact, be executed at the specific levels indicated.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6660" w:leader="none"/>
        <w:tab w:val="left" w:pos="6840" w:leader="none"/>
        <w:tab w:val="right" w:pos="9720" w:leader="none"/>
      </w:tabs>
      <w:ind w:end="-216"/>
      <w:rPr/>
    </w:pPr>
    <w:r>
      <w:rPr>
        <w:b/>
        <w:sz w:val="22"/>
      </w:rPr>
      <w:t>212-526-0900</w:t>
      <w:tab/>
      <w:tab/>
    </w:r>
    <w:r>
      <w:rPr>
        <w:b/>
        <w:smallCaps/>
        <w:sz w:val="22"/>
      </w:rPr>
      <w:t>Lehman Brothers</w:t>
    </w:r>
  </w:p>
  <w:p>
    <w:pPr>
      <w:pStyle w:val="Header"/>
      <w:tabs>
        <w:tab w:val="clear" w:pos="8640"/>
        <w:tab w:val="center" w:pos="4320" w:leader="none"/>
        <w:tab w:val="left" w:pos="6660" w:leader="none"/>
        <w:tab w:val="right" w:pos="9720" w:leader="none"/>
      </w:tabs>
      <w:ind w:end="-216"/>
      <w:rPr>
        <w:b/>
        <w:smallCaps/>
        <w:sz w:val="22"/>
      </w:rPr>
    </w:pPr>
    <w:r>
      <w:rPr>
        <w:b/>
        <w:smallCaps/>
        <w:sz w:val="22"/>
      </w:rPr>
      <w:tab/>
      <w:tab/>
      <w:t>Equity Derivatives</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BranchFile" w:val="no"/>
    <w:docVar w:name="IbdDocStartStatus" w:val="Open"/>
    <w:docVar w:name="IbdDocStartTime" w:val="13027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2880" w:leader="none"/>
      </w:tabs>
      <w:ind w:hanging="288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2000-05-24T15:23:00Z</dcterms:created>
  <dc:creator>Lehman Brothers</dc:creator>
  <dc:description/>
  <dc:language>en-CA</dc:language>
  <cp:lastModifiedBy>Lehman Brothers</cp:lastModifiedBy>
  <cp:lastPrinted>2000-05-24T17:21:00Z</cp:lastPrinted>
  <dcterms:modified xsi:type="dcterms:W3CDTF">2000-05-24T19:04:00Z</dcterms:modified>
  <cp:revision>5</cp:revision>
  <dc:subject/>
  <dc:title>Wash Sale Long and Short Swaps</dc:title>
</cp:coreProperties>
</file>