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Suspension of Direct Access</w:t>
      </w:r>
    </w:p>
    <w:p>
      <w:pPr>
        <w:pStyle w:val="Normal"/>
        <w:rPr>
          <w:b/>
        </w:rPr>
      </w:pPr>
      <w:r>
        <w:rPr>
          <w:b/>
        </w:rPr>
      </w:r>
    </w:p>
    <w:p>
      <w:pPr>
        <w:pStyle w:val="Normal"/>
        <w:rPr>
          <w:b/>
        </w:rPr>
      </w:pPr>
      <w:r>
        <w:rPr>
          <w:b/>
        </w:rPr>
        <w:t>General Overview</w:t>
      </w:r>
      <w:r>
        <w:rPr>
          <w:b/>
          <w:color w:val="FFFFFF"/>
        </w:rPr>
        <w:t xml:space="preserve"> </w:t>
      </w:r>
    </w:p>
    <w:p>
      <w:pPr>
        <w:pStyle w:val="Heading1"/>
        <w:ind w:hanging="0" w:start="0"/>
        <w:rPr/>
      </w:pPr>
      <w:r>
        <w:rPr/>
        <w:t xml:space="preserve">The objective of the proposed plan is to achieve: </w:t>
      </w:r>
    </w:p>
    <w:p>
      <w:pPr>
        <w:pStyle w:val="Normal"/>
        <w:numPr>
          <w:ilvl w:val="0"/>
          <w:numId w:val="4"/>
        </w:numPr>
        <w:rPr/>
      </w:pPr>
      <w:r>
        <w:rPr/>
        <w:t>Consistent and fair treatment of existing DA customers in all service territories</w:t>
      </w:r>
    </w:p>
    <w:p>
      <w:pPr>
        <w:pStyle w:val="Normal"/>
        <w:numPr>
          <w:ilvl w:val="0"/>
          <w:numId w:val="4"/>
        </w:numPr>
        <w:rPr/>
      </w:pPr>
      <w:r>
        <w:rPr/>
        <w:t>Allow customers to continue exercise their right to contract provisions</w:t>
      </w:r>
    </w:p>
    <w:p>
      <w:pPr>
        <w:pStyle w:val="Normal"/>
        <w:numPr>
          <w:ilvl w:val="0"/>
          <w:numId w:val="4"/>
        </w:numPr>
        <w:rPr/>
      </w:pPr>
      <w:r>
        <w:rPr/>
        <w:t>Require ESPs to fulfill their responsibilities to customers with contract signed on or before September 20, 2001.</w:t>
      </w:r>
    </w:p>
    <w:p>
      <w:pPr>
        <w:pStyle w:val="Normal"/>
        <w:numPr>
          <w:ilvl w:val="0"/>
          <w:numId w:val="4"/>
        </w:numPr>
        <w:rPr/>
      </w:pPr>
      <w:r>
        <w:rPr/>
        <w:t>Allow UDCs to keep current practices and procedures in place.</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3348"/>
        <w:gridCol w:w="7020"/>
      </w:tblGrid>
      <w:tr>
        <w:trPr>
          <w:tblHeader w:val="true"/>
          <w:trHeight w:val="503" w:hRule="atLeast"/>
        </w:trPr>
        <w:tc>
          <w:tcPr>
            <w:tcW w:w="3348" w:type="dxa"/>
            <w:tcBorders>
              <w:top w:val="single" w:sz="6" w:space="0" w:color="000080"/>
              <w:start w:val="single" w:sz="6" w:space="0" w:color="000080"/>
              <w:bottom w:val="single" w:sz="6" w:space="0" w:color="000080"/>
              <w:end w:val="single" w:sz="6" w:space="0" w:color="000080"/>
            </w:tcBorders>
            <w:shd w:fill="000080" w:val="clear"/>
          </w:tcPr>
          <w:p>
            <w:pPr>
              <w:pStyle w:val="Normal"/>
              <w:snapToGrid w:val="false"/>
              <w:rPr>
                <w:b/>
                <w:color w:val="FFFFFF"/>
              </w:rPr>
            </w:pPr>
            <w:r>
              <w:rPr>
                <w:b/>
                <w:color w:val="FFFFFF"/>
              </w:rPr>
            </w:r>
          </w:p>
        </w:tc>
        <w:tc>
          <w:tcPr>
            <w:tcW w:w="7020" w:type="dxa"/>
            <w:tcBorders>
              <w:top w:val="single" w:sz="6" w:space="0" w:color="000080"/>
              <w:start w:val="single" w:sz="6" w:space="0" w:color="000080"/>
              <w:bottom w:val="single" w:sz="6" w:space="0" w:color="000080"/>
              <w:end w:val="single" w:sz="6" w:space="0" w:color="000080"/>
            </w:tcBorders>
            <w:shd w:fill="000080" w:val="clear"/>
          </w:tcPr>
          <w:p>
            <w:pPr>
              <w:pStyle w:val="Normal"/>
              <w:rPr>
                <w:b/>
                <w:color w:val="FFFFFF"/>
              </w:rPr>
            </w:pPr>
            <w:r>
              <w:rPr>
                <w:b/>
                <w:color w:val="FFFFFF"/>
              </w:rPr>
              <w:t>Post Direct Access Suspension Plan</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ESP Requirements</w:t>
            </w:r>
          </w:p>
        </w:tc>
        <w:tc>
          <w:tcPr>
            <w:tcW w:w="7020" w:type="dxa"/>
            <w:tcBorders>
              <w:top w:val="single" w:sz="6" w:space="0" w:color="000080"/>
              <w:start w:val="single" w:sz="6" w:space="0" w:color="000080"/>
              <w:bottom w:val="single" w:sz="6" w:space="0" w:color="000080"/>
              <w:end w:val="single" w:sz="6" w:space="0" w:color="000080"/>
            </w:tcBorders>
          </w:tcPr>
          <w:p>
            <w:pPr>
              <w:pStyle w:val="Header"/>
              <w:numPr>
                <w:ilvl w:val="0"/>
                <w:numId w:val="3"/>
              </w:numPr>
              <w:tabs>
                <w:tab w:val="clear" w:pos="4320"/>
                <w:tab w:val="clear" w:pos="8640"/>
              </w:tabs>
              <w:rPr/>
            </w:pPr>
            <w:r>
              <w:rPr/>
              <w:t>Valid UDC-ESP service agreement as of 9/20</w:t>
            </w:r>
          </w:p>
          <w:p>
            <w:pPr>
              <w:pStyle w:val="Header"/>
              <w:numPr>
                <w:ilvl w:val="0"/>
                <w:numId w:val="3"/>
              </w:numPr>
              <w:tabs>
                <w:tab w:val="clear" w:pos="4320"/>
                <w:tab w:val="clear" w:pos="8640"/>
              </w:tabs>
              <w:rPr/>
            </w:pPr>
            <w:r>
              <w:rPr/>
              <w:t>ESP serving small customers must have valid registration</w:t>
            </w:r>
          </w:p>
          <w:p>
            <w:pPr>
              <w:pStyle w:val="Header"/>
              <w:numPr>
                <w:ilvl w:val="0"/>
                <w:numId w:val="3"/>
              </w:numPr>
              <w:tabs>
                <w:tab w:val="clear" w:pos="4320"/>
                <w:tab w:val="clear" w:pos="8640"/>
              </w:tabs>
              <w:rPr/>
            </w:pPr>
            <w:r>
              <w:rPr/>
              <w:t>Must comply with all regulatory requirements when servicing residential and small commercial</w:t>
            </w:r>
          </w:p>
          <w:p>
            <w:pPr>
              <w:pStyle w:val="Header"/>
              <w:tabs>
                <w:tab w:val="clear" w:pos="4320"/>
                <w:tab w:val="clear" w:pos="8640"/>
              </w:tabs>
              <w:ind w:start="360" w:end="0"/>
              <w:rPr/>
            </w:pPr>
            <w:r>
              <w:rPr/>
            </w:r>
          </w:p>
          <w:p>
            <w:pPr>
              <w:pStyle w:val="Normal"/>
              <w:rPr/>
            </w:pPr>
            <w:r>
              <w:rPr/>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ESP Merger/Acquisitions</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pPr>
            <w:r>
              <w:rPr/>
              <w:t xml:space="preserve">ESP may contract to another ESP as part of merger or acquisition any part of its business. ESP must comply with existing protocols and rules to properly make the changes with the UDC. </w:t>
            </w:r>
          </w:p>
          <w:p>
            <w:pPr>
              <w:pStyle w:val="Header"/>
              <w:tabs>
                <w:tab w:val="clear" w:pos="4320"/>
                <w:tab w:val="clear" w:pos="8640"/>
              </w:tabs>
              <w:rPr/>
            </w:pPr>
            <w:r>
              <w:rPr/>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Contract Assignments</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pPr>
            <w:r>
              <w:rPr/>
              <w:t>ESPs may assign any portion of ESP customer contracts for Direct Access to another ESP as long as the contract was signed on or before 9/20/01.</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Customer DA Contract Review</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pPr>
            <w:r>
              <w:rPr/>
              <w:t>UDCs will not review service agreements/contracts executed by an ESP on or before after 9/20.</w:t>
            </w:r>
          </w:p>
          <w:p>
            <w:pPr>
              <w:pStyle w:val="Header"/>
              <w:tabs>
                <w:tab w:val="clear" w:pos="4320"/>
                <w:tab w:val="clear" w:pos="8640"/>
              </w:tabs>
              <w:rPr/>
            </w:pPr>
            <w:r>
              <w:rPr/>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Process Management</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The ESP and UDC’s will conduct business under existing rules and procedures as of September 20, 2001, unless otherwise agreed upon the by the ESP/UDC.</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Customer Identification</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The “Direct Access Master Customer Register” is a UDC-specific list of Customer names maintained by each UDC.  The information contained therein shall be provided by the ESPs that have valid contracts signed on or before September 20, 2001 by UDC.  This information shall be provided as of November 1, so that the Master Register shall be in place soon thereafter.  The Direct Access Master Register shall be the basis for DA transactions with the following provision:</w:t>
            </w:r>
          </w:p>
          <w:p>
            <w:pPr>
              <w:pStyle w:val="Normal"/>
              <w:numPr>
                <w:ilvl w:val="0"/>
                <w:numId w:val="2"/>
              </w:numPr>
              <w:rPr/>
            </w:pPr>
            <w:r>
              <w:rPr/>
              <w:t>customer name changes (managed on a case by case basis) shall be adjusted on the DA Master Register</w:t>
            </w:r>
          </w:p>
          <w:p>
            <w:pPr>
              <w:pStyle w:val="Normal"/>
              <w:numPr>
                <w:ilvl w:val="0"/>
                <w:numId w:val="2"/>
              </w:numPr>
              <w:rPr/>
            </w:pPr>
            <w:r>
              <w:rPr/>
              <w:t>additional customer sites allowed by the customer’s contract (signed on or before September 20, 2001) shall be added to the DA Master Register</w:t>
            </w:r>
          </w:p>
          <w:p>
            <w:pPr>
              <w:pStyle w:val="Normal"/>
              <w:numPr>
                <w:ilvl w:val="0"/>
                <w:numId w:val="2"/>
              </w:numPr>
              <w:rPr/>
            </w:pPr>
            <w:r>
              <w:rPr/>
              <w:t xml:space="preserve">the ESP/UDC serving those customers is subject to change through merger/acquisition/assignment, as noted above </w:t>
            </w:r>
          </w:p>
          <w:p>
            <w:pPr>
              <w:pStyle w:val="Normal"/>
              <w:numPr>
                <w:ilvl w:val="0"/>
                <w:numId w:val="2"/>
              </w:numPr>
              <w:rPr/>
            </w:pPr>
            <w:r>
              <w:rPr/>
              <w:t>“</w:t>
            </w:r>
            <w:r>
              <w:rPr/>
              <w:t>new” customer with no previous UDC service shall become part of the Master Customer Register</w:t>
            </w:r>
          </w:p>
          <w:p>
            <w:pPr>
              <w:pStyle w:val="Normal"/>
              <w:numPr>
                <w:ilvl w:val="0"/>
                <w:numId w:val="2"/>
              </w:numPr>
              <w:rPr/>
            </w:pPr>
            <w:r>
              <w:rPr/>
              <w:t>customer names may be added to each Master Customer Register after November 1 upon demonstration by the ESP that a valid pre-September 20, 2001 contract is in force.</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Customer Enrollment</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pPr>
            <w:r>
              <w:rPr/>
              <w:t xml:space="preserve">ESPs/UDCs shall adhere to all existing DASR rules and protocols (including the rules for processing multiple DASRs for same customer) unless the UDC and ESP agree upon other arrangements.   UDC’s shall accept all transactions for Customer names on the DA Master Customer Register.  </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b/>
              </w:rPr>
            </w:pPr>
            <w:r>
              <w:rPr>
                <w:b/>
              </w:rPr>
              <w:t>Additional Sites</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pPr>
            <w:r>
              <w:rPr/>
              <w:t>DA customers may add additional service sites under their existing contracts executed on or before September 20, 2001.</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Customer Seamless Moves</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Seamless Moves will be processed under normal rule and processes existing in the service territory as of September 20, 2001.</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New Customer to service area</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ESPs will continue to process Direct Access service requests for Customers with no previous service in the UDC under the existing rules and procedures.</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Customer moves between service territories</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Customers with contracts signed on or before September 20, 2001 shall be allowed Direct Access in the new service territory.</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ESP to ESP customer switches</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Direct Access Customers may transfer DA service from one ESP to another if the Customers contract was signed on or before September 20 and is on the Direct Access Customer Master Register,</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Terminations and Renewals</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Direct Access Customers have the right to sign up with the same or a new ESP upon termination of their existing contract.</w:t>
            </w:r>
          </w:p>
        </w:tc>
      </w:tr>
      <w:tr>
        <w:trPr>
          <w:trHeight w:val="520"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DA Customers previously returned to bundled and then returning to DA</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 xml:space="preserve">Direct Access Customers may take DA service allowed in the contract if the Customer’s contract was signed on or before September 20, 2001 and the customer is on the Direct Access Customer Master Register. </w:t>
            </w:r>
          </w:p>
        </w:tc>
      </w:tr>
    </w:tbl>
    <w:p>
      <w:pPr>
        <w:pStyle w:val="Normal"/>
        <w:rPr/>
      </w:pPr>
      <w:r>
        <w:rPr/>
      </w:r>
    </w:p>
    <w:sectPr>
      <w:headerReference w:type="default" r:id="rId2"/>
      <w:footerReference w:type="default" r:id="rId3"/>
      <w:type w:val="nextPage"/>
      <w:pgSz w:w="12240" w:h="15840"/>
      <w:pgMar w:left="1008" w:right="1008"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81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52.5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rPr>
        <w:b/>
        <w:sz w:val="28"/>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3z0">
    <w:name w:val="WW8Num13z0"/>
    <w:qFormat/>
    <w:rPr>
      <w:rFonts w:ascii="Wingdings" w:hAnsi="Wingdings" w:cs="Wingdings"/>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2001-10-29T17:00:00Z</dcterms:created>
  <dc:creator>Janie Mollon</dc:creator>
  <dc:description/>
  <dc:language>en-CA</dc:language>
  <cp:lastModifiedBy>smara</cp:lastModifiedBy>
  <cp:lastPrinted>2001-10-29T09:37:00Z</cp:lastPrinted>
  <dcterms:modified xsi:type="dcterms:W3CDTF">2001-10-29T17:00:00Z</dcterms:modified>
  <cp:revision>2</cp:revision>
  <dc:subject/>
  <dc:title>UDC’s - </dc:title>
</cp:coreProperties>
</file>