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12" w:space="1" w:color="000000"/>
        </w:pBdr>
        <w:tabs>
          <w:tab w:val="clear" w:pos="720"/>
          <w:tab w:val="center" w:pos="4320" w:leader="none"/>
          <w:tab w:val="right" w:pos="8640" w:leader="none"/>
        </w:tabs>
        <w:ind w:hanging="0" w:start="0"/>
        <w:rPr>
          <w:b/>
          <w:sz w:val="36"/>
        </w:rPr>
      </w:pPr>
      <w:r>
        <w:rPr>
          <w:b/>
          <w:sz w:val="36"/>
        </w:rPr>
        <w:tab/>
        <w:t>Susan L. Kennedy</w:t>
      </w:r>
    </w:p>
    <w:p>
      <w:pPr>
        <w:pStyle w:val="Normal"/>
        <w:jc w:val="center"/>
        <w:rPr/>
      </w:pPr>
      <w:r>
        <w:rPr>
          <w:sz w:val="22"/>
        </w:rPr>
        <w:t xml:space="preserve">4126 Stonehurst Drive, Pearland, TX 77584 </w:t>
      </w:r>
      <w:r>
        <w:rPr>
          <w:rFonts w:cs="Arial" w:ascii="Arial" w:hAnsi="Arial"/>
          <w:sz w:val="22"/>
        </w:rPr>
        <w:t>▪</w:t>
      </w:r>
      <w:r>
        <w:rPr>
          <w:sz w:val="22"/>
        </w:rPr>
        <w:t xml:space="preserve"> 281/489-2889 ▪ skennedy@houston.rr.com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PROFESSIONAL EXPERIENCE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single" w:sz="12" w:space="2" w:color="000000"/>
        </w:pBdr>
        <w:tabs>
          <w:tab w:val="clear" w:pos="720"/>
          <w:tab w:val="left" w:pos="7200" w:leader="none"/>
        </w:tabs>
        <w:rPr/>
      </w:pPr>
      <w:r>
        <w:rPr>
          <w:b/>
          <w:sz w:val="22"/>
        </w:rPr>
        <w:t xml:space="preserve">Enron North America, Houston, Texas                                                               </w:t>
      </w:r>
      <w:r>
        <w:rPr>
          <w:bCs/>
          <w:sz w:val="22"/>
        </w:rPr>
        <w:t>2/2000</w:t>
      </w:r>
      <w:r>
        <w:rPr>
          <w:sz w:val="22"/>
        </w:rPr>
        <w:t xml:space="preserve"> – Present</w:t>
      </w:r>
    </w:p>
    <w:p>
      <w:pPr>
        <w:pStyle w:val="Normal"/>
        <w:pBdr>
          <w:bottom w:val="single" w:sz="12" w:space="2" w:color="000000"/>
        </w:pBdr>
        <w:tabs>
          <w:tab w:val="clear" w:pos="720"/>
          <w:tab w:val="left" w:pos="7200" w:leader="none"/>
        </w:tabs>
        <w:rPr>
          <w:sz w:val="22"/>
        </w:rPr>
      </w:pPr>
      <w:r>
        <w:rPr>
          <w:sz w:val="22"/>
        </w:rPr>
        <w:t>eSource</w:t>
      </w:r>
    </w:p>
    <w:p>
      <w:pPr>
        <w:pStyle w:val="Normal"/>
        <w:pBdr>
          <w:bottom w:val="single" w:sz="12" w:space="2" w:color="000000"/>
        </w:pBdr>
        <w:tabs>
          <w:tab w:val="clear" w:pos="720"/>
          <w:tab w:val="left" w:pos="7200" w:leader="none"/>
        </w:tabs>
        <w:rPr/>
      </w:pPr>
      <w:r>
        <w:rPr>
          <w:sz w:val="22"/>
        </w:rPr>
        <w:t xml:space="preserve">Operations Manager                                                 </w:t>
        <w:tab/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Played integral part in creating a virtual research intranet site.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Head of operations for eSource, an Enron start-up that supports Enron globally.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874" w:start="874" w:end="0"/>
        <w:rPr>
          <w:sz w:val="22"/>
        </w:rPr>
      </w:pPr>
      <w:r>
        <w:rPr>
          <w:sz w:val="22"/>
        </w:rPr>
        <w:t xml:space="preserve">Designed, implemented and managed eSource’s Project Tracking Database. </w:t>
      </w:r>
    </w:p>
    <w:p>
      <w:pPr>
        <w:pStyle w:val="Normal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Managed and obtained 5k to 100k plus research database contracts for department.</w:t>
      </w:r>
    </w:p>
    <w:p>
      <w:pPr>
        <w:pStyle w:val="Normal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 xml:space="preserve">Managed and maintained vendor relationships including Lexis Nexis, Thompson  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Financial, Dow Jones, and Dunn and Bradstreet.</w:t>
      </w:r>
    </w:p>
    <w:p>
      <w:pPr>
        <w:pStyle w:val="Normal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Managed eSource’s $1million plus budget.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874" w:start="874" w:end="0"/>
        <w:rPr>
          <w:sz w:val="22"/>
        </w:rPr>
      </w:pPr>
      <w:r>
        <w:rPr>
          <w:sz w:val="22"/>
        </w:rPr>
        <w:t>Maintained general ledger integrity.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874" w:start="874" w:end="0"/>
        <w:rPr>
          <w:sz w:val="22"/>
        </w:rPr>
      </w:pPr>
      <w:r>
        <w:rPr>
          <w:sz w:val="22"/>
        </w:rPr>
        <w:t>Created model for monthly reporting for strategic managers.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ind w:hanging="0" w:start="0"/>
        <w:rPr/>
      </w:pPr>
      <w:r>
        <w:rPr>
          <w:sz w:val="22"/>
        </w:rPr>
        <w:t xml:space="preserve">Enron North America, Portland, Oregon                                                                </w:t>
      </w:r>
      <w:r>
        <w:rPr>
          <w:b w:val="false"/>
          <w:sz w:val="22"/>
        </w:rPr>
        <w:t xml:space="preserve">3/98 – 2/2000   </w:t>
      </w:r>
    </w:p>
    <w:p>
      <w:pPr>
        <w:pStyle w:val="Normal"/>
        <w:pBdr>
          <w:bottom w:val="single" w:sz="12" w:space="2" w:color="000000"/>
        </w:pBdr>
        <w:tabs>
          <w:tab w:val="clear" w:pos="720"/>
          <w:tab w:val="left" w:pos="7200" w:leader="none"/>
        </w:tabs>
        <w:rPr>
          <w:bCs/>
          <w:sz w:val="22"/>
        </w:rPr>
      </w:pPr>
      <w:r>
        <w:rPr>
          <w:bCs/>
          <w:sz w:val="22"/>
        </w:rPr>
        <w:t>Market Intelligence</w:t>
      </w:r>
    </w:p>
    <w:p>
      <w:pPr>
        <w:pStyle w:val="Normal"/>
        <w:pBdr>
          <w:bottom w:val="single" w:sz="12" w:space="2" w:color="000000"/>
        </w:pBdr>
        <w:tabs>
          <w:tab w:val="clear" w:pos="720"/>
          <w:tab w:val="left" w:pos="7200" w:leader="none"/>
        </w:tabs>
        <w:rPr/>
      </w:pPr>
      <w:r>
        <w:rPr>
          <w:bCs/>
          <w:sz w:val="22"/>
        </w:rPr>
        <w:t>Database Manager</w:t>
      </w:r>
      <w:r>
        <w:rPr>
          <w:b/>
          <w:sz w:val="22"/>
        </w:rPr>
        <w:t xml:space="preserve">                       </w:t>
      </w:r>
    </w:p>
    <w:p>
      <w:pPr>
        <w:pStyle w:val="BodyTextIndent"/>
        <w:ind w:hanging="0" w:start="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 xml:space="preserve">Managed and enhanced Market Intelligence’s (MI) relationship with Enron North   </w:t>
      </w:r>
    </w:p>
    <w:p>
      <w:pPr>
        <w:pStyle w:val="BodyTextIndent"/>
        <w:ind w:hanging="180" w:start="18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America’s revenue creators.  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180" w:end="0"/>
        <w:rPr>
          <w:sz w:val="22"/>
        </w:rPr>
      </w:pPr>
      <w:r>
        <w:rPr>
          <w:sz w:val="22"/>
        </w:rPr>
        <w:t>Supported Portland’s West Desk Origination team on the Account Management Database, which tracked deals, counterparties and contacts for all of Enron.</w:t>
      </w:r>
    </w:p>
    <w:p>
      <w:pPr>
        <w:pStyle w:val="BodyTextIndent"/>
        <w:ind w:hanging="180" w:start="18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Played an integral part in the creation of the new Customer Account Tracking System</w:t>
      </w:r>
    </w:p>
    <w:p>
      <w:pPr>
        <w:pStyle w:val="BodyTextIndent"/>
        <w:ind w:hanging="0" w:start="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(CATS). </w:t>
      </w:r>
    </w:p>
    <w:p>
      <w:pPr>
        <w:pStyle w:val="BodyTextIndent"/>
        <w:ind w:hanging="0" w:start="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 xml:space="preserve">Created a marketing plan for MI, oversaw all aspects of MI’s product delivery,  </w:t>
      </w:r>
    </w:p>
    <w:p>
      <w:pPr>
        <w:pStyle w:val="BodyTextIndent"/>
        <w:ind w:hanging="0" w:start="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devised marketing strategies and oversaw their successful execution. </w:t>
      </w:r>
    </w:p>
    <w:p>
      <w:pPr>
        <w:pStyle w:val="BodyTextIndent"/>
        <w:ind w:hanging="180" w:start="18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 xml:space="preserve">Responsible for supporting the Portland, Calgary, and San Francisco   </w:t>
      </w:r>
    </w:p>
    <w:p>
      <w:pPr>
        <w:pStyle w:val="BodyTextIndent"/>
        <w:ind w:hanging="0" w:start="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offices with all of MI’s products and services.</w:t>
      </w:r>
    </w:p>
    <w:p>
      <w:pPr>
        <w:pStyle w:val="BodyTextIndent"/>
        <w:ind w:hanging="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pBdr>
          <w:bottom w:val="single" w:sz="12" w:space="1" w:color="000000"/>
        </w:pBdr>
        <w:ind w:hanging="0" w:start="0" w:end="0"/>
        <w:rPr>
          <w:b/>
          <w:sz w:val="22"/>
        </w:rPr>
      </w:pPr>
      <w:r>
        <w:rPr>
          <w:b/>
          <w:sz w:val="22"/>
        </w:rPr>
        <w:t xml:space="preserve">Portland General Electric, Portland, Oregon                                                              </w:t>
      </w:r>
      <w:r>
        <w:rPr>
          <w:sz w:val="22"/>
        </w:rPr>
        <w:t>3/97 – 3/98</w:t>
      </w:r>
    </w:p>
    <w:p>
      <w:pPr>
        <w:pStyle w:val="BodyTextIndent"/>
        <w:pBdr>
          <w:bottom w:val="single" w:sz="12" w:space="1" w:color="000000"/>
        </w:pBdr>
        <w:ind w:hanging="0" w:start="0" w:end="0"/>
        <w:rPr>
          <w:bCs/>
          <w:sz w:val="22"/>
        </w:rPr>
      </w:pPr>
      <w:r>
        <w:rPr>
          <w:bCs/>
          <w:sz w:val="22"/>
        </w:rPr>
        <w:t>First Point Convergent Systems</w:t>
      </w:r>
    </w:p>
    <w:p>
      <w:pPr>
        <w:pStyle w:val="BodyTextIndent"/>
        <w:pBdr>
          <w:bottom w:val="single" w:sz="12" w:space="1" w:color="000000"/>
        </w:pBdr>
        <w:ind w:hanging="0" w:start="0" w:end="0"/>
        <w:rPr>
          <w:b/>
          <w:bCs/>
          <w:sz w:val="22"/>
        </w:rPr>
      </w:pPr>
      <w:r>
        <w:rPr>
          <w:bCs/>
          <w:sz w:val="22"/>
        </w:rPr>
        <w:t>Administrative Assistant</w:t>
      </w:r>
    </w:p>
    <w:p>
      <w:pPr>
        <w:pStyle w:val="BodyTextIndent"/>
        <w:ind w:hanging="0" w:start="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Supported an office of twelve project managers.</w:t>
      </w:r>
    </w:p>
    <w:p>
      <w:pPr>
        <w:pStyle w:val="BodyTextIndent"/>
        <w:ind w:hanging="0" w:start="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Designed, implemented and managed the Fist Point Web Site.</w:t>
      </w:r>
    </w:p>
    <w:p>
      <w:pPr>
        <w:pStyle w:val="BodyTextIndent"/>
        <w:ind w:hanging="0" w:start="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Managed A/P, A/R, arranged travel, scheduled meetings, oversaw expense reports.</w:t>
      </w:r>
    </w:p>
    <w:p>
      <w:pPr>
        <w:pStyle w:val="BodyTextIndent"/>
        <w:ind w:hanging="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pBdr>
          <w:bottom w:val="single" w:sz="12" w:space="1" w:color="000000"/>
        </w:pBdr>
        <w:ind w:hanging="0" w:start="0" w:end="0"/>
        <w:rPr>
          <w:b/>
          <w:sz w:val="22"/>
        </w:rPr>
      </w:pPr>
      <w:r>
        <w:rPr>
          <w:b/>
          <w:sz w:val="22"/>
        </w:rPr>
        <w:t xml:space="preserve">Performance Energy Partnership                                                                                  </w:t>
      </w:r>
      <w:r>
        <w:rPr>
          <w:sz w:val="22"/>
        </w:rPr>
        <w:t>5/96 - 3/97</w:t>
      </w:r>
    </w:p>
    <w:p>
      <w:pPr>
        <w:pStyle w:val="BodyTextIndent"/>
        <w:pBdr>
          <w:bottom w:val="single" w:sz="12" w:space="1" w:color="000000"/>
        </w:pBdr>
        <w:ind w:hanging="0" w:start="0" w:end="0"/>
        <w:rPr>
          <w:sz w:val="22"/>
        </w:rPr>
      </w:pPr>
      <w:r>
        <w:rPr>
          <w:sz w:val="22"/>
        </w:rPr>
        <w:t xml:space="preserve">Power Quality and Energy Strategist </w:t>
      </w:r>
    </w:p>
    <w:p>
      <w:pPr>
        <w:pStyle w:val="BodyTextIndent"/>
        <w:pBdr>
          <w:bottom w:val="single" w:sz="12" w:space="1" w:color="000000"/>
        </w:pBdr>
        <w:ind w:hanging="0" w:start="0" w:end="0"/>
        <w:rPr>
          <w:sz w:val="22"/>
        </w:rPr>
      </w:pPr>
      <w:r>
        <w:rPr>
          <w:sz w:val="22"/>
        </w:rPr>
        <w:t xml:space="preserve">Executive Assistant </w:t>
      </w:r>
    </w:p>
    <w:p>
      <w:pPr>
        <w:pStyle w:val="BodyTextIndent"/>
        <w:ind w:hanging="0" w:start="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Assistant to the President.</w:t>
      </w:r>
    </w:p>
    <w:p>
      <w:pPr>
        <w:pStyle w:val="BodyTextIndent"/>
        <w:ind w:hanging="0" w:start="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 xml:space="preserve">Flight arrangements, scheduling, preparation for board meetings, heavy contact with  </w:t>
      </w:r>
    </w:p>
    <w:p>
      <w:pPr>
        <w:pStyle w:val="BodyTextIndent"/>
        <w:ind w:hanging="180" w:start="18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board members. </w:t>
      </w:r>
    </w:p>
    <w:p>
      <w:pPr>
        <w:pStyle w:val="BodyTextIndent"/>
        <w:ind w:hanging="0" w:start="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Quarterly reports, payroll and taxes.</w:t>
      </w:r>
    </w:p>
    <w:p>
      <w:pPr>
        <w:pStyle w:val="BodyTextIndent"/>
        <w:ind w:hanging="0" w:start="0" w:end="0"/>
        <w:rPr>
          <w:sz w:val="22"/>
        </w:rPr>
      </w:pPr>
      <w:r>
        <w:rPr>
          <w:sz w:val="22"/>
        </w:rPr>
      </w:r>
    </w:p>
    <w:p>
      <w:pPr>
        <w:pStyle w:val="Heading1"/>
        <w:pBdr>
          <w:bottom w:val="single" w:sz="12" w:space="1" w:color="000000"/>
        </w:pBdr>
        <w:tabs>
          <w:tab w:val="clear" w:pos="720"/>
          <w:tab w:val="center" w:pos="4320" w:leader="none"/>
          <w:tab w:val="right" w:pos="8640" w:leader="none"/>
        </w:tabs>
        <w:ind w:hanging="0" w:start="0"/>
        <w:rPr>
          <w:b/>
          <w:sz w:val="36"/>
        </w:rPr>
      </w:pPr>
      <w:r>
        <w:rPr>
          <w:b/>
          <w:sz w:val="36"/>
        </w:rPr>
        <w:t>Susan L. Kennedy</w:t>
        <w:tab/>
        <w:tab/>
      </w:r>
      <w:r>
        <w:rPr>
          <w:b/>
          <w:bCs/>
          <w:sz w:val="22"/>
        </w:rPr>
        <w:t>Page 2</w:t>
      </w:r>
    </w:p>
    <w:p>
      <w:pPr>
        <w:pStyle w:val="BodyTextIndent"/>
        <w:ind w:firstLine="720" w:start="720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ind w:hanging="0" w:start="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BodyTextIndent"/>
        <w:ind w:hanging="0" w:start="0" w:end="0"/>
        <w:jc w:val="center"/>
        <w:rPr>
          <w:b/>
          <w:bCs/>
          <w:sz w:val="24"/>
        </w:rPr>
      </w:pPr>
      <w:r>
        <w:rPr>
          <w:b/>
          <w:bCs/>
          <w:sz w:val="24"/>
        </w:rPr>
        <w:t>TECHNICAL SKILLS</w:t>
      </w:r>
    </w:p>
    <w:p>
      <w:pPr>
        <w:pStyle w:val="BodyTextIndent"/>
        <w:ind w:hanging="0" w:start="0" w:end="0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BodyTextIndent"/>
        <w:ind w:hanging="0" w:start="0" w:end="0"/>
        <w:jc w:val="center"/>
        <w:rPr>
          <w:b/>
          <w:bCs/>
          <w:sz w:val="24"/>
        </w:rPr>
      </w:pPr>
      <w:r>
        <w:rPr>
          <w:rFonts w:cs="Arial" w:ascii="Arial" w:hAnsi="Arial"/>
          <w:sz w:val="22"/>
        </w:rPr>
        <w:t>▪</w:t>
      </w:r>
      <w:r>
        <w:rPr>
          <w:rFonts w:eastAsia="Arial" w:cs="Arial" w:ascii="Arial" w:hAnsi="Arial"/>
          <w:sz w:val="22"/>
        </w:rPr>
        <w:t xml:space="preserve"> </w:t>
      </w:r>
      <w:r>
        <w:rPr>
          <w:sz w:val="24"/>
        </w:rPr>
        <w:t>Excel</w:t>
      </w:r>
      <w:r>
        <w:rPr>
          <w:b/>
          <w:bCs/>
          <w:sz w:val="24"/>
        </w:rPr>
        <w:t xml:space="preserve"> </w:t>
      </w:r>
      <w:r>
        <w:rPr>
          <w:rFonts w:cs="Arial" w:ascii="Arial" w:hAnsi="Arial"/>
          <w:sz w:val="22"/>
        </w:rPr>
        <w:t>▪</w:t>
      </w:r>
      <w:r>
        <w:rPr>
          <w:sz w:val="24"/>
        </w:rPr>
        <w:t>Access</w:t>
      </w:r>
      <w:r>
        <w:rPr>
          <w:b/>
          <w:bCs/>
          <w:sz w:val="24"/>
        </w:rPr>
        <w:t xml:space="preserve"> </w:t>
      </w:r>
      <w:r>
        <w:rPr>
          <w:rFonts w:cs="Arial" w:ascii="Arial" w:hAnsi="Arial"/>
          <w:sz w:val="22"/>
        </w:rPr>
        <w:t>▪</w:t>
      </w:r>
      <w:r>
        <w:rPr>
          <w:b/>
          <w:bCs/>
          <w:sz w:val="24"/>
        </w:rPr>
        <w:t xml:space="preserve"> </w:t>
      </w:r>
      <w:r>
        <w:rPr>
          <w:sz w:val="24"/>
        </w:rPr>
        <w:t>Word</w:t>
      </w:r>
      <w:r>
        <w:rPr>
          <w:b/>
          <w:bCs/>
          <w:sz w:val="24"/>
        </w:rPr>
        <w:t xml:space="preserve"> </w:t>
      </w:r>
      <w:r>
        <w:rPr>
          <w:rFonts w:cs="Arial" w:ascii="Arial" w:hAnsi="Arial"/>
          <w:sz w:val="22"/>
        </w:rPr>
        <w:t>▪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PowerPoint </w:t>
      </w:r>
      <w:r>
        <w:rPr>
          <w:rFonts w:cs="Arial" w:ascii="Arial" w:hAnsi="Arial"/>
          <w:sz w:val="22"/>
        </w:rPr>
        <w:t>▪</w:t>
      </w:r>
      <w:r>
        <w:rPr>
          <w:b/>
          <w:bCs/>
          <w:sz w:val="24"/>
        </w:rPr>
        <w:t xml:space="preserve"> </w:t>
      </w:r>
      <w:r>
        <w:rPr>
          <w:sz w:val="24"/>
        </w:rPr>
        <w:t>Windows NT</w:t>
      </w:r>
      <w:r>
        <w:rPr>
          <w:b/>
          <w:bCs/>
          <w:sz w:val="24"/>
        </w:rPr>
        <w:t xml:space="preserve"> </w:t>
      </w:r>
      <w:r>
        <w:rPr>
          <w:rFonts w:cs="Arial" w:ascii="Arial" w:hAnsi="Arial"/>
          <w:sz w:val="22"/>
        </w:rPr>
        <w:t>▪</w:t>
      </w:r>
      <w:r>
        <w:rPr>
          <w:b/>
          <w:bCs/>
          <w:sz w:val="24"/>
        </w:rPr>
        <w:t xml:space="preserve"> </w:t>
      </w:r>
      <w:r>
        <w:rPr>
          <w:sz w:val="24"/>
        </w:rPr>
        <w:t>Windows 95</w:t>
      </w:r>
    </w:p>
    <w:p>
      <w:pPr>
        <w:pStyle w:val="BodyTextIndent"/>
        <w:ind w:hanging="0" w:start="60" w:end="0"/>
        <w:jc w:val="center"/>
        <w:rPr/>
      </w:pPr>
      <w:r>
        <w:rPr>
          <w:rFonts w:cs="Arial" w:ascii="Arial" w:hAnsi="Arial"/>
          <w:sz w:val="22"/>
        </w:rPr>
        <w:t>▪</w:t>
      </w:r>
      <w:r>
        <w:rPr>
          <w:sz w:val="24"/>
        </w:rPr>
        <w:t xml:space="preserve">Windows 98 </w:t>
      </w:r>
      <w:r>
        <w:rPr>
          <w:rFonts w:cs="Arial" w:ascii="Arial" w:hAnsi="Arial"/>
          <w:sz w:val="22"/>
        </w:rPr>
        <w:t>▪</w:t>
      </w:r>
      <w:r>
        <w:rPr>
          <w:b/>
          <w:bCs/>
          <w:sz w:val="24"/>
        </w:rPr>
        <w:t xml:space="preserve"> </w:t>
      </w:r>
      <w:r>
        <w:rPr>
          <w:sz w:val="24"/>
        </w:rPr>
        <w:t>Windows 2000</w:t>
      </w:r>
      <w:r>
        <w:rPr>
          <w:b/>
          <w:bCs/>
          <w:sz w:val="24"/>
        </w:rPr>
        <w:t xml:space="preserve"> </w:t>
      </w:r>
      <w:r>
        <w:rPr>
          <w:rFonts w:cs="Arial" w:ascii="Arial" w:hAnsi="Arial"/>
          <w:sz w:val="22"/>
        </w:rPr>
        <w:t>▪</w:t>
      </w:r>
      <w:r>
        <w:rPr>
          <w:b/>
          <w:bCs/>
          <w:sz w:val="24"/>
        </w:rPr>
        <w:t xml:space="preserve"> </w:t>
      </w:r>
      <w:r>
        <w:rPr>
          <w:sz w:val="24"/>
        </w:rPr>
        <w:t>Lotus Notes</w:t>
      </w:r>
      <w:r>
        <w:rPr>
          <w:b/>
          <w:bCs/>
          <w:sz w:val="24"/>
        </w:rPr>
        <w:t xml:space="preserve"> </w:t>
      </w:r>
      <w:r>
        <w:rPr>
          <w:rFonts w:cs="Arial" w:ascii="Arial" w:hAnsi="Arial"/>
          <w:sz w:val="22"/>
        </w:rPr>
        <w:t>▪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Outlook </w:t>
      </w:r>
      <w:r>
        <w:rPr>
          <w:rFonts w:cs="Arial" w:ascii="Arial" w:hAnsi="Arial"/>
          <w:sz w:val="22"/>
        </w:rPr>
        <w:t>▪</w:t>
      </w:r>
      <w:r>
        <w:rPr>
          <w:b/>
          <w:bCs/>
          <w:sz w:val="24"/>
        </w:rPr>
        <w:t xml:space="preserve"> </w:t>
      </w:r>
      <w:r>
        <w:rPr>
          <w:sz w:val="24"/>
        </w:rPr>
        <w:t>SAP</w:t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60" w:end="0"/>
        <w:jc w:val="center"/>
        <w:rPr>
          <w:sz w:val="24"/>
        </w:rPr>
      </w:pPr>
      <w:r>
        <w:rPr>
          <w:sz w:val="24"/>
        </w:rPr>
        <w:t>References available upon request</w:t>
      </w:r>
    </w:p>
    <w:p>
      <w:pPr>
        <w:pStyle w:val="BodyTextIndent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jc w:val="center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874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bottom w:val="single" w:sz="12" w:space="2" w:color="000000"/>
      </w:pBdr>
      <w:tabs>
        <w:tab w:val="clear" w:pos="720"/>
        <w:tab w:val="left" w:pos="7200" w:leader="none"/>
      </w:tabs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eastAsia="Times New Roman" w:cs="Times New Roman"/>
      <w:b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2001-11-20T16:14:00Z</dcterms:created>
  <dc:creator>James &amp; Susan Kennedy</dc:creator>
  <dc:description/>
  <dc:language>en-CA</dc:language>
  <cp:lastModifiedBy>James &amp; Susan Kennedy</cp:lastModifiedBy>
  <dcterms:modified xsi:type="dcterms:W3CDTF">2001-11-20T16:15:00Z</dcterms:modified>
  <cp:revision>4</cp:revision>
  <dc:subject/>
  <dc:title>Susan L</dc:title>
</cp:coreProperties>
</file>