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Heading2"/>
        <w:ind w:hanging="0" w:start="0"/>
        <w:rPr/>
      </w:pPr>
      <w:r>
        <w:rPr/>
        <w:t>Professional Experience Overview</w:t>
      </w:r>
    </w:p>
    <w:p>
      <w:pPr>
        <w:pStyle w:val="Normal"/>
        <w:rPr>
          <w:sz w:val="20"/>
        </w:rPr>
      </w:pPr>
      <w:r>
        <w:rPr>
          <w:sz w:val="20"/>
        </w:rPr>
        <w:t xml:space="preserve">Twelve years of solid experience structuring transactions and marketing energy and other commodities.  Thorough knowledge of physical and financial markets combined with technical and commercial expertise in the development of energy assets.  Experience in trading and marketing of natural gas, electricity, oil products and weather derivatives in the US, UK and Continental Europe.  Functional areas of expertise include deal structuring and risk management, quantitative analysis and financial modeling, and product design and marketing.    </w:t>
      </w:r>
    </w:p>
    <w:p>
      <w:pPr>
        <w:pStyle w:val="Normal"/>
        <w:rPr>
          <w:sz w:val="20"/>
        </w:rPr>
      </w:pPr>
      <w:r>
        <w:rPr>
          <w:sz w:val="20"/>
        </w:rPr>
      </w:r>
    </w:p>
    <w:p>
      <w:pPr>
        <w:pStyle w:val="Normal"/>
        <w:rPr>
          <w:sz w:val="20"/>
        </w:rPr>
      </w:pPr>
      <w:r>
        <w:rPr>
          <w:sz w:val="20"/>
        </w:rPr>
      </w:r>
    </w:p>
    <w:p>
      <w:pPr>
        <w:pStyle w:val="Heading2"/>
        <w:ind w:hanging="0" w:start="0"/>
        <w:rPr>
          <w:bCs/>
          <w:szCs w:val="24"/>
        </w:rPr>
      </w:pPr>
      <w:r>
        <w:rPr>
          <w:bCs/>
          <w:szCs w:val="24"/>
        </w:rPr>
        <w:t>Deal Structuring Experience and Accomplishments</w:t>
      </w:r>
    </w:p>
    <w:p>
      <w:pPr>
        <w:pStyle w:val="Normal"/>
        <w:rPr>
          <w:sz w:val="20"/>
        </w:rPr>
      </w:pPr>
      <w:r>
        <w:rPr>
          <w:sz w:val="20"/>
        </w:rPr>
        <w:t>Seven years of experience structuring and executing complex multi-commodity transactions beginning with  responsibility for individual deals as a manager, and later promoted to lead the structuring team for an entire business unit.  Responsibilities in this role:</w:t>
      </w:r>
    </w:p>
    <w:p>
      <w:pPr>
        <w:pStyle w:val="BodyTextIndent"/>
        <w:tabs>
          <w:tab w:val="clear" w:pos="900"/>
          <w:tab w:val="left" w:pos="720" w:leader="none"/>
        </w:tabs>
        <w:ind w:hanging="180" w:start="720" w:end="0"/>
        <w:rPr/>
      </w:pPr>
      <w:r>
        <w:rPr/>
        <w:t>-</w:t>
        <w:tab/>
        <w:t>independently assess all physical and financial risks inherent in prospective transactions involving customized commercial terms;</w:t>
      </w:r>
    </w:p>
    <w:p>
      <w:pPr>
        <w:pStyle w:val="BodyTextIndent2"/>
        <w:tabs>
          <w:tab w:val="clear" w:pos="900"/>
          <w:tab w:val="left" w:pos="720" w:leader="none"/>
        </w:tabs>
        <w:ind w:start="720" w:end="0"/>
        <w:rPr/>
      </w:pPr>
      <w:r>
        <w:rPr/>
        <w:t>-</w:t>
        <w:tab/>
        <w:t>ensure all risks and commodity positions are evaluated according to internal compliance standards;</w:t>
      </w:r>
    </w:p>
    <w:p>
      <w:pPr>
        <w:pStyle w:val="BodyTextIndent3"/>
        <w:rPr/>
      </w:pPr>
      <w:r>
        <w:rPr/>
        <w:t>-</w:t>
        <w:tab/>
        <w:t>provide an overall economic assessment of multi-commodity transactions that are priced independently by several trading desks;</w:t>
      </w:r>
    </w:p>
    <w:p>
      <w:pPr>
        <w:pStyle w:val="BodyTextIndent3"/>
        <w:rPr/>
      </w:pPr>
      <w:r>
        <w:rPr/>
        <w:t>-</w:t>
        <w:tab/>
        <w:t>develop financial models to calculate profit and loss, cash flow and risk positions for financial products and physical assets;</w:t>
      </w:r>
    </w:p>
    <w:p>
      <w:pPr>
        <w:pStyle w:val="Normal"/>
        <w:tabs>
          <w:tab w:val="left" w:pos="720" w:leader="none"/>
        </w:tabs>
        <w:ind w:hanging="180" w:start="720" w:end="0"/>
        <w:rPr>
          <w:sz w:val="20"/>
        </w:rPr>
      </w:pPr>
      <w:r>
        <w:rPr>
          <w:sz w:val="20"/>
        </w:rPr>
        <w:t>-</w:t>
        <w:tab/>
        <w:t>audit contracts to ensure documentation accurately represents the transaction as modeled; and</w:t>
      </w:r>
    </w:p>
    <w:p>
      <w:pPr>
        <w:pStyle w:val="Normal"/>
        <w:tabs>
          <w:tab w:val="left" w:pos="720" w:leader="none"/>
        </w:tabs>
        <w:ind w:hanging="180" w:start="720" w:end="0"/>
        <w:rPr>
          <w:sz w:val="20"/>
        </w:rPr>
      </w:pPr>
      <w:r>
        <w:rPr>
          <w:sz w:val="20"/>
        </w:rPr>
        <w:t>-</w:t>
        <w:tab/>
        <w:t>provide commercial feedback to traders and dealmakers to improve deal profitability and promote successful deal execution.</w:t>
      </w:r>
    </w:p>
    <w:p>
      <w:pPr>
        <w:pStyle w:val="Normal"/>
        <w:rPr>
          <w:sz w:val="20"/>
        </w:rPr>
      </w:pPr>
      <w:r>
        <w:rPr>
          <w:sz w:val="20"/>
        </w:rPr>
      </w:r>
    </w:p>
    <w:p>
      <w:pPr>
        <w:pStyle w:val="Heading2"/>
        <w:ind w:hanging="0" w:start="0"/>
        <w:rPr>
          <w:bCs/>
          <w:szCs w:val="24"/>
        </w:rPr>
      </w:pPr>
      <w:r>
        <w:rPr>
          <w:bCs/>
          <w:szCs w:val="24"/>
        </w:rPr>
        <w:t>Specific Accomplishments</w:t>
      </w:r>
    </w:p>
    <w:p>
      <w:pPr>
        <w:pStyle w:val="BodyText"/>
        <w:numPr>
          <w:ilvl w:val="1"/>
          <w:numId w:val="6"/>
        </w:numPr>
        <w:tabs>
          <w:tab w:val="clear" w:pos="720"/>
          <w:tab w:val="left" w:pos="360" w:leader="none"/>
        </w:tabs>
        <w:ind w:hanging="360" w:start="360" w:end="0"/>
        <w:rPr/>
      </w:pPr>
      <w:r>
        <w:rPr/>
        <w:t xml:space="preserve">Successfully structured and executed transactions that combined pricing of firm financial derivative products with valuation adjustments to reflect the operating characteristics of physical assets such as power plants (steam units, gas turbines, hydro), underground gas storage, gas processing plants and pipelines.   </w:t>
      </w:r>
    </w:p>
    <w:p>
      <w:pPr>
        <w:pStyle w:val="Normal"/>
        <w:tabs>
          <w:tab w:val="clear" w:pos="720"/>
          <w:tab w:val="left" w:pos="360" w:leader="none"/>
        </w:tabs>
        <w:ind w:hanging="360" w:start="360" w:end="0"/>
        <w:rPr>
          <w:sz w:val="20"/>
        </w:rPr>
      </w:pPr>
      <w:r>
        <w:rPr>
          <w:sz w:val="20"/>
        </w:rPr>
      </w:r>
    </w:p>
    <w:p>
      <w:pPr>
        <w:pStyle w:val="Normal"/>
        <w:numPr>
          <w:ilvl w:val="1"/>
          <w:numId w:val="6"/>
        </w:numPr>
        <w:tabs>
          <w:tab w:val="clear" w:pos="720"/>
          <w:tab w:val="left" w:pos="360" w:leader="none"/>
        </w:tabs>
        <w:ind w:hanging="360" w:start="360" w:end="0"/>
        <w:rPr>
          <w:sz w:val="20"/>
        </w:rPr>
      </w:pPr>
      <w:r>
        <w:rPr>
          <w:sz w:val="20"/>
        </w:rPr>
        <w:t xml:space="preserve">Led the process of transferring Enron’s institutional deal structuring knowledge from established markets to newly developing markets.  </w:t>
      </w:r>
    </w:p>
    <w:p>
      <w:pPr>
        <w:pStyle w:val="BodyTextIndent3"/>
        <w:rPr/>
      </w:pPr>
      <w:r>
        <w:rPr/>
        <w:t>-</w:t>
        <w:tab/>
        <w:t xml:space="preserve">For Enron Europe, built the structuring group in London and applied the experience from the North American gas markets to newly deregulated markets for UK natural gas, UK power and markets for natural gas and power in Continental Europe.  </w:t>
      </w:r>
    </w:p>
    <w:p>
      <w:pPr>
        <w:pStyle w:val="Normal"/>
        <w:tabs>
          <w:tab w:val="left" w:pos="720" w:leader="none"/>
        </w:tabs>
        <w:ind w:hanging="180" w:start="720" w:end="0"/>
        <w:rPr>
          <w:sz w:val="20"/>
        </w:rPr>
      </w:pPr>
      <w:r>
        <w:rPr>
          <w:sz w:val="20"/>
        </w:rPr>
        <w:t>-</w:t>
        <w:tab/>
        <w:t>For Enron Broadband Services, applied the principles of risk management and deal structuring gained in energy markets to the effort to create a traded market for bandwidth.</w:t>
      </w:r>
    </w:p>
    <w:p>
      <w:pPr>
        <w:pStyle w:val="Normal"/>
        <w:tabs>
          <w:tab w:val="left" w:pos="360" w:leader="none"/>
          <w:tab w:val="left" w:pos="720" w:leader="none"/>
        </w:tabs>
        <w:ind w:hanging="180" w:start="720" w:end="0"/>
        <w:rPr>
          <w:sz w:val="20"/>
        </w:rPr>
      </w:pPr>
      <w:r>
        <w:rPr>
          <w:sz w:val="20"/>
        </w:rPr>
      </w:r>
    </w:p>
    <w:p>
      <w:pPr>
        <w:pStyle w:val="Normal"/>
        <w:numPr>
          <w:ilvl w:val="1"/>
          <w:numId w:val="6"/>
        </w:numPr>
        <w:tabs>
          <w:tab w:val="clear" w:pos="720"/>
          <w:tab w:val="left" w:pos="360" w:leader="none"/>
        </w:tabs>
        <w:ind w:hanging="360" w:start="360" w:end="0"/>
        <w:rPr>
          <w:sz w:val="20"/>
        </w:rPr>
      </w:pPr>
      <w:r>
        <w:rPr>
          <w:sz w:val="20"/>
        </w:rPr>
        <w:t>Developed spread option pricing models, evaluation process and risk management books for seven executed long-term contracts representing 3,000 MW of tolling capacity in the UK with total notional contract payments of $6 billion.  The tolling payments under these contracts are physical natural gas, physical coal and financial fuel oil.</w:t>
      </w:r>
    </w:p>
    <w:p>
      <w:pPr>
        <w:pStyle w:val="Normal"/>
        <w:tabs>
          <w:tab w:val="clear" w:pos="720"/>
          <w:tab w:val="left" w:pos="360" w:leader="none"/>
        </w:tabs>
        <w:ind w:hanging="360" w:start="360" w:end="0"/>
        <w:rPr>
          <w:sz w:val="20"/>
        </w:rPr>
      </w:pPr>
      <w:r>
        <w:rPr>
          <w:sz w:val="20"/>
        </w:rPr>
      </w:r>
    </w:p>
    <w:p>
      <w:pPr>
        <w:pStyle w:val="Normal"/>
        <w:numPr>
          <w:ilvl w:val="1"/>
          <w:numId w:val="6"/>
        </w:numPr>
        <w:tabs>
          <w:tab w:val="clear" w:pos="720"/>
          <w:tab w:val="left" w:pos="360" w:leader="none"/>
        </w:tabs>
        <w:ind w:hanging="360" w:start="360" w:end="0"/>
        <w:rPr>
          <w:sz w:val="20"/>
        </w:rPr>
      </w:pPr>
      <w:r>
        <w:rPr>
          <w:sz w:val="20"/>
        </w:rPr>
        <w:t>Participated in all stages of financial engineering for new products that contractually replicate the economics of owning assets such as power plants (peakers, baseload and fuel-switching units), gas pipelines and salt-dome gas storage.  Emphasis on valuation modeling, developing contract language and quantifying risk positions.  Enron ultimately executed five major contracts based on three of these synthetic asset products.</w:t>
      </w:r>
    </w:p>
    <w:p>
      <w:pPr>
        <w:pStyle w:val="Normal"/>
        <w:tabs>
          <w:tab w:val="clear" w:pos="720"/>
          <w:tab w:val="left" w:pos="360" w:leader="none"/>
        </w:tabs>
        <w:ind w:hanging="360" w:start="360" w:end="0"/>
        <w:rPr>
          <w:sz w:val="20"/>
        </w:rPr>
      </w:pPr>
      <w:r>
        <w:rPr>
          <w:sz w:val="20"/>
        </w:rPr>
      </w:r>
    </w:p>
    <w:p>
      <w:pPr>
        <w:pStyle w:val="Normal"/>
        <w:numPr>
          <w:ilvl w:val="1"/>
          <w:numId w:val="6"/>
        </w:numPr>
        <w:tabs>
          <w:tab w:val="clear" w:pos="720"/>
          <w:tab w:val="left" w:pos="360" w:leader="none"/>
        </w:tabs>
        <w:ind w:hanging="360" w:start="360" w:end="0"/>
        <w:rPr>
          <w:sz w:val="20"/>
        </w:rPr>
      </w:pPr>
      <w:r>
        <w:rPr>
          <w:sz w:val="20"/>
        </w:rPr>
        <w:t>Created stochastic modeling techniques for valuing real options on sites for power plant development and the residual value of future merchant capacity from power plants after expiration of long-term power purchase agreements.  Model results were used to acquire options on capacity and negotiate acquisition value of equity in IPPs.</w:t>
      </w:r>
    </w:p>
    <w:p>
      <w:pPr>
        <w:pStyle w:val="Heading2"/>
        <w:ind w:hanging="0" w:start="0"/>
        <w:rPr>
          <w:bCs/>
          <w:sz w:val="20"/>
          <w:szCs w:val="24"/>
        </w:rPr>
      </w:pPr>
      <w:r>
        <w:rPr>
          <w:bCs/>
          <w:sz w:val="20"/>
          <w:szCs w:val="24"/>
        </w:rPr>
      </w:r>
    </w:p>
    <w:p>
      <w:pPr>
        <w:pStyle w:val="Heading2"/>
        <w:ind w:hanging="0" w:start="0"/>
        <w:rPr>
          <w:bCs/>
          <w:szCs w:val="24"/>
        </w:rPr>
      </w:pPr>
      <w:r>
        <w:rPr>
          <w:bCs/>
          <w:szCs w:val="24"/>
        </w:rPr>
        <w:t>Energy Marketing Experience</w:t>
      </w:r>
    </w:p>
    <w:p>
      <w:pPr>
        <w:pStyle w:val="Normal"/>
        <w:rPr>
          <w:sz w:val="20"/>
        </w:rPr>
      </w:pPr>
      <w:r>
        <w:rPr>
          <w:sz w:val="20"/>
        </w:rPr>
        <w:t>Participated in Enron’s initial effort to develop the deregulated US natural gas market and advance the principles of risk management and trading to the industry.</w:t>
      </w:r>
    </w:p>
    <w:p>
      <w:pPr>
        <w:pStyle w:val="Normal"/>
        <w:rPr>
          <w:sz w:val="20"/>
        </w:rPr>
      </w:pPr>
      <w:r>
        <w:rPr>
          <w:sz w:val="20"/>
        </w:rPr>
      </w:r>
    </w:p>
    <w:p>
      <w:pPr>
        <w:pStyle w:val="Normal"/>
        <w:numPr>
          <w:ilvl w:val="0"/>
          <w:numId w:val="3"/>
        </w:numPr>
        <w:tabs>
          <w:tab w:val="clear" w:pos="720"/>
          <w:tab w:val="left" w:pos="360" w:leader="none"/>
        </w:tabs>
        <w:ind w:hanging="360" w:start="360" w:end="0"/>
        <w:rPr>
          <w:sz w:val="20"/>
        </w:rPr>
      </w:pPr>
      <w:r>
        <w:rPr>
          <w:sz w:val="20"/>
        </w:rPr>
        <w:t>Marketed natural gas and financial hedges to IPPs and utility generators in the US under long-term, structured contracts.  These supply agreements were customized to accommodate project finance requirements such as the need to hedge power purchase contract exposure, fuel switching economics and environmental regulations such as SO</w:t>
      </w:r>
      <w:r>
        <w:rPr>
          <w:sz w:val="20"/>
          <w:vertAlign w:val="subscript"/>
        </w:rPr>
        <w:t>2</w:t>
      </w:r>
      <w:r>
        <w:rPr>
          <w:sz w:val="20"/>
        </w:rPr>
        <w:t xml:space="preserve"> allowances.</w:t>
      </w:r>
    </w:p>
    <w:p>
      <w:pPr>
        <w:pStyle w:val="Normal"/>
        <w:tabs>
          <w:tab w:val="clear" w:pos="720"/>
          <w:tab w:val="left" w:pos="360" w:leader="none"/>
        </w:tabs>
        <w:ind w:hanging="360" w:start="360" w:end="0"/>
        <w:rPr>
          <w:sz w:val="20"/>
        </w:rPr>
      </w:pPr>
      <w:r>
        <w:rPr>
          <w:sz w:val="20"/>
        </w:rPr>
      </w:r>
    </w:p>
    <w:p>
      <w:pPr>
        <w:pStyle w:val="Normal"/>
        <w:numPr>
          <w:ilvl w:val="0"/>
          <w:numId w:val="3"/>
        </w:numPr>
        <w:tabs>
          <w:tab w:val="clear" w:pos="720"/>
          <w:tab w:val="left" w:pos="360" w:leader="none"/>
        </w:tabs>
        <w:ind w:hanging="360" w:start="360" w:end="0"/>
        <w:rPr>
          <w:sz w:val="20"/>
        </w:rPr>
      </w:pPr>
      <w:r>
        <w:rPr>
          <w:sz w:val="20"/>
        </w:rPr>
        <w:t xml:space="preserve">Was responsible for financial modeling and structuring of potential deals, including the successful execution of one of the industry’s first 15-year gas supply contracts indexed to wholesale electricity prices. </w:t>
      </w:r>
    </w:p>
    <w:p>
      <w:pPr>
        <w:pStyle w:val="Normal"/>
        <w:tabs>
          <w:tab w:val="clear" w:pos="720"/>
          <w:tab w:val="left" w:pos="360" w:leader="none"/>
        </w:tabs>
        <w:ind w:hanging="360" w:start="360" w:end="0"/>
        <w:rPr>
          <w:sz w:val="20"/>
        </w:rPr>
      </w:pPr>
      <w:r>
        <w:rPr>
          <w:sz w:val="20"/>
        </w:rPr>
      </w:r>
    </w:p>
    <w:p>
      <w:pPr>
        <w:pStyle w:val="Normal"/>
        <w:numPr>
          <w:ilvl w:val="0"/>
          <w:numId w:val="3"/>
        </w:numPr>
        <w:tabs>
          <w:tab w:val="clear" w:pos="720"/>
          <w:tab w:val="left" w:pos="360" w:leader="none"/>
        </w:tabs>
        <w:ind w:hanging="360" w:start="360" w:end="0"/>
        <w:rPr>
          <w:sz w:val="20"/>
        </w:rPr>
      </w:pPr>
      <w:r>
        <w:rPr>
          <w:sz w:val="20"/>
        </w:rPr>
        <w:t>Had commercial responsibility for marketing to regulated utility generators in the Western and Midwestern US.  Developed a successful deal structure for mid-merit generation plants that combined a flexible, market-based physical gas supply with a financial fixed-price hedge to overcome the customer’s reluctance to pay for unnecessary option premiums.</w:t>
      </w:r>
    </w:p>
    <w:p>
      <w:pPr>
        <w:pStyle w:val="Normal"/>
        <w:rPr>
          <w:sz w:val="20"/>
        </w:rPr>
      </w:pPr>
      <w:r>
        <w:rPr>
          <w:sz w:val="20"/>
        </w:rPr>
      </w:r>
    </w:p>
    <w:p>
      <w:pPr>
        <w:pStyle w:val="Normal"/>
        <w:rPr>
          <w:b/>
          <w:sz w:val="20"/>
        </w:rPr>
      </w:pPr>
      <w:r>
        <w:rPr>
          <w:b/>
          <w:sz w:val="20"/>
        </w:rPr>
      </w:r>
    </w:p>
    <w:p>
      <w:pPr>
        <w:pStyle w:val="Normal"/>
        <w:rPr>
          <w:b/>
          <w:sz w:val="20"/>
        </w:rPr>
      </w:pPr>
      <w:r>
        <w:rPr>
          <w:b/>
          <w:sz w:val="20"/>
        </w:rPr>
        <w:t>Employment History</w:t>
      </w:r>
    </w:p>
    <w:p>
      <w:pPr>
        <w:pStyle w:val="Normal"/>
        <w:numPr>
          <w:ilvl w:val="0"/>
          <w:numId w:val="4"/>
        </w:numPr>
        <w:tabs>
          <w:tab w:val="clear" w:pos="720"/>
          <w:tab w:val="left" w:pos="6120" w:leader="none"/>
        </w:tabs>
        <w:rPr>
          <w:sz w:val="20"/>
        </w:rPr>
      </w:pPr>
      <w:r>
        <w:rPr>
          <w:sz w:val="20"/>
        </w:rPr>
        <w:t>Enron Corp.</w:t>
        <w:tab/>
        <w:t>Oct. 1987 to Dec. 2001</w:t>
      </w:r>
    </w:p>
    <w:p>
      <w:pPr>
        <w:pStyle w:val="Normal"/>
        <w:tabs>
          <w:tab w:val="clear" w:pos="720"/>
          <w:tab w:val="left" w:pos="6120" w:leader="none"/>
        </w:tabs>
        <w:ind w:firstLine="360" w:end="0"/>
        <w:rPr>
          <w:sz w:val="20"/>
        </w:rPr>
      </w:pPr>
      <w:r>
        <w:rPr>
          <w:sz w:val="20"/>
        </w:rPr>
        <w:t>Positions held:</w:t>
      </w:r>
    </w:p>
    <w:p>
      <w:pPr>
        <w:pStyle w:val="Normal"/>
        <w:tabs>
          <w:tab w:val="clear" w:pos="720"/>
          <w:tab w:val="left" w:pos="6120" w:leader="none"/>
        </w:tabs>
        <w:ind w:firstLine="360" w:end="0"/>
        <w:rPr>
          <w:sz w:val="20"/>
        </w:rPr>
      </w:pPr>
      <w:r>
        <w:rPr>
          <w:sz w:val="20"/>
        </w:rPr>
        <w:t xml:space="preserve">Enron Broadband Services, Houston:  Vice President, Structuring </w:t>
        <w:tab/>
        <w:t>Dec. 2000 to Dec. 2001</w:t>
      </w:r>
    </w:p>
    <w:p>
      <w:pPr>
        <w:pStyle w:val="Normal"/>
        <w:tabs>
          <w:tab w:val="clear" w:pos="720"/>
          <w:tab w:val="left" w:pos="6120" w:leader="none"/>
        </w:tabs>
        <w:ind w:firstLine="360" w:end="0"/>
        <w:rPr>
          <w:sz w:val="20"/>
        </w:rPr>
      </w:pPr>
      <w:r>
        <w:rPr>
          <w:sz w:val="20"/>
        </w:rPr>
        <w:t>Enron Europe Ltd., London, UK:  Head of Structuring</w:t>
        <w:tab/>
        <w:t>May 1996 to Dec. 2000</w:t>
      </w:r>
    </w:p>
    <w:p>
      <w:pPr>
        <w:pStyle w:val="Normal"/>
        <w:tabs>
          <w:tab w:val="left" w:pos="720" w:leader="none"/>
          <w:tab w:val="left" w:pos="6120" w:leader="none"/>
        </w:tabs>
        <w:ind w:firstLine="360" w:end="0"/>
        <w:rPr>
          <w:sz w:val="20"/>
        </w:rPr>
      </w:pPr>
      <w:r>
        <w:rPr>
          <w:sz w:val="20"/>
        </w:rPr>
        <w:tab/>
        <w:t>Advanced from Manager to Director to Vice President</w:t>
      </w:r>
    </w:p>
    <w:p>
      <w:pPr>
        <w:pStyle w:val="Normal"/>
        <w:tabs>
          <w:tab w:val="left" w:pos="720" w:leader="none"/>
          <w:tab w:val="left" w:pos="6120" w:leader="none"/>
        </w:tabs>
        <w:ind w:firstLine="360" w:end="0"/>
        <w:rPr>
          <w:sz w:val="20"/>
        </w:rPr>
      </w:pPr>
      <w:r>
        <w:rPr>
          <w:sz w:val="20"/>
        </w:rPr>
        <w:t xml:space="preserve">Enron Capital and Trade Resources, Houston: </w:t>
      </w:r>
    </w:p>
    <w:p>
      <w:pPr>
        <w:pStyle w:val="Normal"/>
        <w:tabs>
          <w:tab w:val="left" w:pos="720" w:leader="none"/>
          <w:tab w:val="left" w:pos="6120" w:leader="none"/>
        </w:tabs>
        <w:ind w:firstLine="360" w:end="0"/>
        <w:rPr>
          <w:sz w:val="20"/>
        </w:rPr>
      </w:pPr>
      <w:r>
        <w:rPr>
          <w:sz w:val="20"/>
        </w:rPr>
        <w:tab/>
        <w:t>Manager, Structuring (Natural Gas)</w:t>
        <w:tab/>
        <w:t>Sept. 1994 to May 1996</w:t>
      </w:r>
    </w:p>
    <w:p>
      <w:pPr>
        <w:pStyle w:val="Normal"/>
        <w:tabs>
          <w:tab w:val="left" w:pos="720" w:leader="none"/>
          <w:tab w:val="left" w:pos="6120" w:leader="none"/>
        </w:tabs>
        <w:ind w:firstLine="360" w:end="0"/>
        <w:rPr>
          <w:sz w:val="20"/>
        </w:rPr>
      </w:pPr>
      <w:r>
        <w:rPr>
          <w:sz w:val="20"/>
        </w:rPr>
        <w:tab/>
        <w:t>Manager, Enron Power Services</w:t>
        <w:tab/>
        <w:t>June 1992 to Sep. 1994</w:t>
      </w:r>
    </w:p>
    <w:p>
      <w:pPr>
        <w:pStyle w:val="Normal"/>
        <w:tabs>
          <w:tab w:val="left" w:pos="720" w:leader="none"/>
          <w:tab w:val="left" w:pos="6120" w:leader="none"/>
        </w:tabs>
        <w:ind w:firstLine="360" w:end="0"/>
        <w:rPr>
          <w:sz w:val="20"/>
        </w:rPr>
      </w:pPr>
      <w:r>
        <w:rPr>
          <w:sz w:val="20"/>
        </w:rPr>
        <w:tab/>
        <w:t>Associate</w:t>
        <w:tab/>
        <w:t>April 1990 to June 1992</w:t>
      </w:r>
    </w:p>
    <w:p>
      <w:pPr>
        <w:pStyle w:val="Normal"/>
        <w:tabs>
          <w:tab w:val="clear" w:pos="720"/>
          <w:tab w:val="left" w:pos="6120" w:leader="none"/>
        </w:tabs>
        <w:ind w:firstLine="360" w:end="0"/>
        <w:rPr>
          <w:sz w:val="20"/>
        </w:rPr>
      </w:pPr>
      <w:r>
        <w:rPr>
          <w:sz w:val="20"/>
        </w:rPr>
        <w:t>Gas Pipeline Group, Houston:  Pipeline Facilities Planning Dept.</w:t>
        <w:tab/>
        <w:t>Oct. 1987 to April 1990</w:t>
      </w:r>
    </w:p>
    <w:p>
      <w:pPr>
        <w:pStyle w:val="Normal"/>
        <w:tabs>
          <w:tab w:val="clear" w:pos="720"/>
          <w:tab w:val="left" w:pos="6120" w:leader="none"/>
        </w:tabs>
        <w:ind w:firstLine="360" w:end="0"/>
        <w:rPr>
          <w:sz w:val="20"/>
        </w:rPr>
      </w:pPr>
      <w:r>
        <w:rPr>
          <w:sz w:val="20"/>
        </w:rPr>
      </w:r>
    </w:p>
    <w:p>
      <w:pPr>
        <w:pStyle w:val="Normal"/>
        <w:numPr>
          <w:ilvl w:val="0"/>
          <w:numId w:val="2"/>
        </w:numPr>
        <w:tabs>
          <w:tab w:val="clear" w:pos="720"/>
          <w:tab w:val="left" w:pos="6120" w:leader="none"/>
        </w:tabs>
        <w:rPr>
          <w:sz w:val="20"/>
        </w:rPr>
      </w:pPr>
      <w:r>
        <w:rPr>
          <w:sz w:val="20"/>
        </w:rPr>
        <w:t>Midcon Corp., Lombard, Illinois:  System Design Department</w:t>
        <w:tab/>
        <w:t>July 1985 to Oct. 1987</w:t>
      </w:r>
    </w:p>
    <w:p>
      <w:pPr>
        <w:pStyle w:val="Normal"/>
        <w:tabs>
          <w:tab w:val="left" w:pos="720" w:leader="none"/>
        </w:tabs>
        <w:ind w:start="720" w:end="0"/>
        <w:rPr>
          <w:sz w:val="20"/>
        </w:rPr>
      </w:pPr>
      <w:r>
        <w:rPr>
          <w:sz w:val="20"/>
        </w:rPr>
      </w:r>
    </w:p>
    <w:p>
      <w:pPr>
        <w:pStyle w:val="Normal"/>
        <w:tabs>
          <w:tab w:val="left" w:pos="720" w:leader="none"/>
        </w:tabs>
        <w:ind w:start="720" w:end="0"/>
        <w:rPr>
          <w:sz w:val="20"/>
        </w:rPr>
      </w:pPr>
      <w:r>
        <w:rPr>
          <w:sz w:val="20"/>
        </w:rPr>
      </w:r>
    </w:p>
    <w:p>
      <w:pPr>
        <w:pStyle w:val="Normal"/>
        <w:rPr>
          <w:b/>
          <w:sz w:val="20"/>
        </w:rPr>
      </w:pPr>
      <w:r>
        <w:rPr>
          <w:b/>
          <w:sz w:val="20"/>
        </w:rPr>
        <w:t xml:space="preserve">Education </w:t>
      </w:r>
    </w:p>
    <w:p>
      <w:pPr>
        <w:pStyle w:val="Normal"/>
        <w:numPr>
          <w:ilvl w:val="0"/>
          <w:numId w:val="5"/>
        </w:numPr>
        <w:rPr>
          <w:b/>
          <w:sz w:val="20"/>
        </w:rPr>
      </w:pPr>
      <w:r>
        <w:rPr>
          <w:sz w:val="20"/>
        </w:rPr>
        <w:t>MBA, 1990, University of Houston, Houston, Texas</w:t>
      </w:r>
    </w:p>
    <w:p>
      <w:pPr>
        <w:pStyle w:val="Normal"/>
        <w:numPr>
          <w:ilvl w:val="0"/>
          <w:numId w:val="5"/>
        </w:numPr>
        <w:rPr>
          <w:b/>
          <w:sz w:val="20"/>
        </w:rPr>
      </w:pPr>
      <w:r>
        <w:rPr>
          <w:sz w:val="20"/>
        </w:rPr>
        <w:t>MS in Petroleum Engineering, 1985, University of Tulsa, Tulsa, Oklahoma</w:t>
      </w:r>
    </w:p>
    <w:p>
      <w:pPr>
        <w:pStyle w:val="Normal"/>
        <w:numPr>
          <w:ilvl w:val="0"/>
          <w:numId w:val="5"/>
        </w:numPr>
        <w:rPr>
          <w:b/>
          <w:sz w:val="20"/>
        </w:rPr>
      </w:pPr>
      <w:r>
        <w:rPr>
          <w:sz w:val="20"/>
        </w:rPr>
        <w:t>BS in Petroleum Engineering - Magna Cum Laude, 1984, University of Tulsa, Tulsa, Oklahoma</w:t>
      </w:r>
    </w:p>
    <w:p>
      <w:pPr>
        <w:pStyle w:val="Normal"/>
        <w:numPr>
          <w:ilvl w:val="0"/>
          <w:numId w:val="5"/>
        </w:numPr>
        <w:rPr>
          <w:b/>
          <w:sz w:val="20"/>
        </w:rPr>
      </w:pPr>
      <w:r>
        <w:rPr>
          <w:sz w:val="20"/>
        </w:rPr>
        <w:t>BA in Chemistry, 1983, College of Wooster, Wooster, Ohio</w:t>
      </w:r>
    </w:p>
    <w:p>
      <w:pPr>
        <w:pStyle w:val="Normal"/>
        <w:rPr>
          <w:b/>
          <w:sz w:val="20"/>
        </w:rPr>
      </w:pPr>
      <w:r>
        <w:rPr>
          <w:b/>
          <w:sz w:val="20"/>
        </w:rPr>
      </w:r>
    </w:p>
    <w:p>
      <w:pPr>
        <w:pStyle w:val="Normal"/>
        <w:rPr>
          <w:b/>
          <w:sz w:val="20"/>
        </w:rPr>
      </w:pPr>
      <w:r>
        <w:rPr>
          <w:b/>
          <w:sz w:val="20"/>
        </w:rPr>
      </w:r>
    </w:p>
    <w:p>
      <w:pPr>
        <w:pStyle w:val="Normal"/>
        <w:rPr>
          <w:b/>
          <w:sz w:val="20"/>
        </w:rPr>
      </w:pPr>
      <w:r>
        <w:rPr>
          <w:b/>
          <w:sz w:val="20"/>
        </w:rPr>
        <w:t xml:space="preserve">Professional </w:t>
      </w:r>
    </w:p>
    <w:p>
      <w:pPr>
        <w:pStyle w:val="Normal"/>
        <w:numPr>
          <w:ilvl w:val="0"/>
          <w:numId w:val="5"/>
        </w:numPr>
        <w:rPr>
          <w:b/>
          <w:sz w:val="20"/>
        </w:rPr>
      </w:pPr>
      <w:r>
        <w:rPr>
          <w:sz w:val="20"/>
        </w:rPr>
        <w:t>Chartered Financial Analyst  (CFA), 1993</w:t>
      </w:r>
    </w:p>
    <w:p>
      <w:pPr>
        <w:pStyle w:val="Normal"/>
        <w:numPr>
          <w:ilvl w:val="0"/>
          <w:numId w:val="5"/>
        </w:numPr>
        <w:rPr>
          <w:b/>
          <w:sz w:val="20"/>
        </w:rPr>
      </w:pPr>
      <w:r>
        <w:rPr>
          <w:sz w:val="20"/>
        </w:rPr>
        <w:t>Member, Association for Investment Management and Research  (AIMR)</w:t>
      </w:r>
    </w:p>
    <w:p>
      <w:pPr>
        <w:pStyle w:val="Normal"/>
        <w:numPr>
          <w:ilvl w:val="0"/>
          <w:numId w:val="5"/>
        </w:numPr>
        <w:rPr>
          <w:bCs/>
          <w:sz w:val="20"/>
        </w:rPr>
      </w:pPr>
      <w:r>
        <w:rPr>
          <w:bCs/>
          <w:sz w:val="20"/>
        </w:rPr>
        <w:t>Member, Houston Society of Financial Analysts</w:t>
      </w:r>
    </w:p>
    <w:p>
      <w:pPr>
        <w:pStyle w:val="Normal"/>
        <w:numPr>
          <w:ilvl w:val="0"/>
          <w:numId w:val="5"/>
        </w:numPr>
        <w:rPr>
          <w:bCs/>
          <w:sz w:val="20"/>
        </w:rPr>
      </w:pPr>
      <w:r>
        <w:rPr>
          <w:bCs/>
          <w:sz w:val="20"/>
        </w:rPr>
        <w:t>SFA Registered – Futures and Options Representative  (UK Securities and Futures Authority)</w:t>
      </w:r>
    </w:p>
    <w:p>
      <w:pPr>
        <w:pStyle w:val="Normal"/>
        <w:rPr>
          <w:bCs/>
          <w:sz w:val="20"/>
        </w:rPr>
      </w:pPr>
      <w:r>
        <w:rPr>
          <w:bCs/>
          <w:sz w:val="20"/>
        </w:rPr>
      </w:r>
    </w:p>
    <w:p>
      <w:pPr>
        <w:pStyle w:val="Normal"/>
        <w:rPr>
          <w:bCs/>
          <w:sz w:val="20"/>
        </w:rPr>
      </w:pPr>
      <w:r>
        <w:rPr>
          <w:bCs/>
          <w:sz w:val="20"/>
        </w:rPr>
      </w:r>
    </w:p>
    <w:p>
      <w:pPr>
        <w:pStyle w:val="Normal"/>
        <w:rPr>
          <w:bCs/>
          <w:sz w:val="20"/>
        </w:rPr>
      </w:pPr>
      <w:r>
        <w:rPr>
          <w:bCs/>
          <w:sz w:val="20"/>
        </w:rPr>
      </w:r>
    </w:p>
    <w:p>
      <w:pPr>
        <w:pStyle w:val="Normal"/>
        <w:rPr>
          <w:bCs/>
          <w:sz w:val="20"/>
        </w:rPr>
      </w:pPr>
      <w:r>
        <w:rPr>
          <w:bCs/>
          <w:sz w:val="20"/>
        </w:rPr>
      </w:r>
    </w:p>
    <w:sectPr>
      <w:headerReference w:type="default" r:id="rId2"/>
      <w:type w:val="nextPage"/>
      <w:pgSz w:w="12240" w:h="15840"/>
      <w:pgMar w:left="1584" w:right="1584"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Garamond">
    <w:charset w:val="00" w:characterSet="windows-1252"/>
    <w:family w:val="roman"/>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Garamond" w:hAnsi="Garamond" w:cs="Garamond"/>
      </w:rPr>
    </w:pPr>
    <w:r>
      <w:rPr>
        <w:rFonts w:cs="Garamond" w:ascii="Garamond" w:hAnsi="Garamond"/>
      </w:rPr>
    </w:r>
  </w:p>
  <w:p>
    <w:pPr>
      <w:pStyle w:val="Header"/>
      <w:rPr/>
    </w:pPr>
    <w:r>
      <w:rPr>
        <w:b/>
        <w:bCs/>
      </w:rPr>
      <w:t xml:space="preserve">Dale W. Surbey    </w:t>
    </w:r>
    <w:r>
      <w:rPr>
        <w:sz w:val="16"/>
      </w:rPr>
      <w:t>______________________________________________________________________________________</w:t>
    </w:r>
  </w:p>
  <w:p>
    <w:pPr>
      <w:pStyle w:val="Header"/>
      <w:ind w:end="-288"/>
      <w:jc w:val="center"/>
      <w:rPr/>
    </w:pPr>
    <w:r>
      <w:rPr>
        <w:sz w:val="16"/>
      </w:rPr>
      <w:t xml:space="preserve">                   </w:t>
    </w:r>
    <w:r>
      <w:rPr>
        <w:sz w:val="16"/>
      </w:rPr>
      <w:t>16 Annapolis Court, Houston, TX 77005  ■  713.838.9361 (Home)  281.748.5794 (Cell)  ■  dsurbey@yahoo.com</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1620"/>
        </w:tabs>
        <w:ind w:start="1620" w:hanging="360"/>
      </w:pPr>
      <w:rPr>
        <w:rFonts w:ascii="Times New Roman" w:hAnsi="Times New Roman" w:cs="Times New Roman" w:hint="default"/>
      </w:rPr>
    </w:lvl>
    <w:lvl w:ilvl="1">
      <w:start w:val="1"/>
      <w:numFmt w:val="bullet"/>
      <w:lvlText w:val=""/>
      <w:lvlJc w:val="start"/>
      <w:pPr>
        <w:tabs>
          <w:tab w:val="num" w:pos="2340"/>
        </w:tabs>
        <w:ind w:start="2340" w:hanging="360"/>
      </w:pPr>
      <w:rPr>
        <w:rFonts w:ascii="Symbol" w:hAnsi="Symbol" w:cs="Symbol" w:hint="default"/>
      </w:rPr>
    </w:lvl>
    <w:lvl w:ilvl="2">
      <w:start w:val="1"/>
      <w:numFmt w:val="bullet"/>
      <w:lvlText w:val=""/>
      <w:lvlJc w:val="start"/>
      <w:pPr>
        <w:tabs>
          <w:tab w:val="num" w:pos="3060"/>
        </w:tabs>
        <w:ind w:start="3060" w:hanging="360"/>
      </w:pPr>
      <w:rPr>
        <w:rFonts w:ascii="Wingdings" w:hAnsi="Wingdings" w:cs="Wingdings" w:hint="default"/>
      </w:rPr>
    </w:lvl>
    <w:lvl w:ilvl="3">
      <w:start w:val="1"/>
      <w:numFmt w:val="bullet"/>
      <w:lvlText w:val=""/>
      <w:lvlJc w:val="start"/>
      <w:pPr>
        <w:tabs>
          <w:tab w:val="num" w:pos="3780"/>
        </w:tabs>
        <w:ind w:start="3780" w:hanging="360"/>
      </w:pPr>
      <w:rPr>
        <w:rFonts w:ascii="Symbol" w:hAnsi="Symbol" w:cs="Symbol" w:hint="default"/>
      </w:rPr>
    </w:lvl>
    <w:lvl w:ilvl="4">
      <w:start w:val="1"/>
      <w:numFmt w:val="bullet"/>
      <w:lvlText w:val="o"/>
      <w:lvlJc w:val="start"/>
      <w:pPr>
        <w:tabs>
          <w:tab w:val="num" w:pos="4500"/>
        </w:tabs>
        <w:ind w:start="4500" w:hanging="360"/>
      </w:pPr>
      <w:rPr>
        <w:rFonts w:ascii="Courier New" w:hAnsi="Courier New" w:cs="Courier New" w:hint="default"/>
      </w:rPr>
    </w:lvl>
    <w:lvl w:ilvl="5">
      <w:start w:val="1"/>
      <w:numFmt w:val="bullet"/>
      <w:lvlText w:val=""/>
      <w:lvlJc w:val="start"/>
      <w:pPr>
        <w:tabs>
          <w:tab w:val="num" w:pos="5220"/>
        </w:tabs>
        <w:ind w:start="5220" w:hanging="360"/>
      </w:pPr>
      <w:rPr>
        <w:rFonts w:ascii="Wingdings" w:hAnsi="Wingdings" w:cs="Wingdings" w:hint="default"/>
      </w:rPr>
    </w:lvl>
    <w:lvl w:ilvl="6">
      <w:start w:val="1"/>
      <w:numFmt w:val="bullet"/>
      <w:lvlText w:val=""/>
      <w:lvlJc w:val="start"/>
      <w:pPr>
        <w:tabs>
          <w:tab w:val="num" w:pos="5940"/>
        </w:tabs>
        <w:ind w:start="5940" w:hanging="360"/>
      </w:pPr>
      <w:rPr>
        <w:rFonts w:ascii="Symbol" w:hAnsi="Symbol" w:cs="Symbol" w:hint="default"/>
      </w:rPr>
    </w:lvl>
    <w:lvl w:ilvl="7">
      <w:start w:val="1"/>
      <w:numFmt w:val="bullet"/>
      <w:lvlText w:val="o"/>
      <w:lvlJc w:val="start"/>
      <w:pPr>
        <w:tabs>
          <w:tab w:val="num" w:pos="6660"/>
        </w:tabs>
        <w:ind w:start="6660" w:hanging="360"/>
      </w:pPr>
      <w:rPr>
        <w:rFonts w:ascii="Courier New" w:hAnsi="Courier New" w:cs="Courier New" w:hint="default"/>
      </w:rPr>
    </w:lvl>
    <w:lvl w:ilvl="8">
      <w:start w:val="1"/>
      <w:numFmt w:val="bullet"/>
      <w:lvlText w:val=""/>
      <w:lvlJc w:val="start"/>
      <w:pPr>
        <w:tabs>
          <w:tab w:val="num" w:pos="7380"/>
        </w:tabs>
        <w:ind w:start="73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b/>
      <w:sz w:val="20"/>
      <w:szCs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s>
      <w:ind w:hanging="360" w:start="900" w:end="0"/>
    </w:pPr>
    <w:rPr>
      <w:sz w:val="20"/>
    </w:rPr>
  </w:style>
  <w:style w:type="paragraph" w:styleId="BodyTextIndent2">
    <w:name w:val="Body Text Indent 2"/>
    <w:basedOn w:val="Normal"/>
    <w:qFormat/>
    <w:pPr>
      <w:tabs>
        <w:tab w:val="clear" w:pos="720"/>
        <w:tab w:val="left" w:pos="900" w:leader="none"/>
      </w:tabs>
      <w:ind w:hanging="180" w:start="900" w:end="0"/>
    </w:pPr>
    <w:rPr>
      <w:sz w:val="20"/>
    </w:rPr>
  </w:style>
  <w:style w:type="paragraph" w:styleId="BodyTextIndent3">
    <w:name w:val="Body Text Indent 3"/>
    <w:basedOn w:val="Normal"/>
    <w:qFormat/>
    <w:pPr>
      <w:tabs>
        <w:tab w:val="left" w:pos="720" w:leader="none"/>
      </w:tabs>
      <w:ind w:hanging="180" w:start="72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2001-12-03T10:05:00Z</dcterms:created>
  <dc:creator>dsurbey</dc:creator>
  <dc:description/>
  <dc:language>en-CA</dc:language>
  <cp:lastModifiedBy> </cp:lastModifiedBy>
  <cp:lastPrinted>2001-11-07T08:15:00Z</cp:lastPrinted>
  <dcterms:modified xsi:type="dcterms:W3CDTF">2001-12-06T11:17:00Z</dcterms:modified>
  <cp:revision>5</cp:revision>
  <dc:subject/>
  <dc:title>Risk Management – mark-to-market valuation including adjustments for non-standard contract terms, complex derivatives pricing,</dc:title>
</cp:coreProperties>
</file>