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Style"/>
        <w:jc w:val="center"/>
        <w:rPr>
          <w:b/>
        </w:rPr>
      </w:pPr>
      <w:r>
        <w:rPr>
          <w:b/>
        </w:rPr>
        <w:t>Nos. 00-568 and 00-809</w:t>
      </w:r>
    </w:p>
    <w:p>
      <w:pPr>
        <w:pStyle w:val="BodyTextStyle"/>
        <w:jc w:val="center"/>
        <w:rPr>
          <w:b/>
        </w:rPr>
      </w:pPr>
      <w:r>
        <w:rPr>
          <w:b/>
        </w:rPr>
      </w:r>
    </w:p>
    <w:p>
      <w:pPr>
        <w:pStyle w:val="BodyTextStyle"/>
        <w:spacing w:lineRule="auto" w:line="240"/>
        <w:jc w:val="center"/>
        <w:rPr>
          <w:b/>
          <w:sz w:val="28"/>
        </w:rPr>
      </w:pPr>
      <w:r>
        <w:rPr>
          <w:b/>
          <w:sz w:val="28"/>
        </w:rPr>
        <w:t>In the</w:t>
      </w:r>
    </w:p>
    <w:p>
      <w:pPr>
        <w:pStyle w:val="BodyTextStyle"/>
        <w:spacing w:lineRule="auto" w:line="240"/>
        <w:jc w:val="center"/>
        <w:rPr>
          <w:b/>
          <w:sz w:val="32"/>
        </w:rPr>
      </w:pPr>
      <w:r>
        <w:rPr>
          <w:b/>
          <w:sz w:val="32"/>
        </w:rPr>
        <w:t>Supreme Court of the United States</w:t>
      </w:r>
    </w:p>
    <w:p>
      <w:pPr>
        <w:pStyle w:val="BodyTextStyle"/>
        <w:jc w:val="center"/>
        <w:rPr>
          <w:b/>
        </w:rPr>
      </w:pPr>
      <w:r>
        <w:rPr>
          <w:b/>
        </w:rPr>
        <w:t>New York, et al.</w:t>
      </w:r>
    </w:p>
    <w:p>
      <w:pPr>
        <w:pStyle w:val="BodyTextStyle"/>
        <w:jc w:val="center"/>
        <w:rPr>
          <w:b/>
        </w:rPr>
      </w:pPr>
      <w:r>
        <w:rPr>
          <w:b/>
        </w:rPr>
        <w:t xml:space="preserve">v. </w:t>
      </w:r>
    </w:p>
    <w:p>
      <w:pPr>
        <w:pStyle w:val="BodyTextStyle"/>
        <w:jc w:val="center"/>
        <w:rPr>
          <w:b/>
        </w:rPr>
      </w:pPr>
      <w:r>
        <w:rPr>
          <w:b/>
        </w:rPr>
        <w:t>Federal Energy Regulatory Commission</w:t>
      </w:r>
    </w:p>
    <w:p>
      <w:pPr>
        <w:pStyle w:val="BodyTextStyle"/>
        <w:jc w:val="center"/>
        <w:rPr>
          <w:b/>
          <w:u w:val="single"/>
        </w:rPr>
      </w:pPr>
      <w:r>
        <w:rPr>
          <w:b/>
          <w:u w:val="single"/>
        </w:rPr>
        <w:tab/>
        <w:tab/>
      </w:r>
    </w:p>
    <w:p>
      <w:pPr>
        <w:pStyle w:val="BodyTextStyle"/>
        <w:jc w:val="center"/>
        <w:rPr>
          <w:b/>
        </w:rPr>
      </w:pPr>
      <w:r>
        <w:rPr>
          <w:b/>
        </w:rPr>
        <w:t>Enron Power Marketing, Inc.</w:t>
      </w:r>
    </w:p>
    <w:p>
      <w:pPr>
        <w:pStyle w:val="BodyTextStyle"/>
        <w:jc w:val="center"/>
        <w:rPr>
          <w:b/>
        </w:rPr>
      </w:pPr>
      <w:r>
        <w:rPr>
          <w:b/>
        </w:rPr>
        <w:t xml:space="preserve">v. </w:t>
      </w:r>
    </w:p>
    <w:p>
      <w:pPr>
        <w:pStyle w:val="BodyTextStyle"/>
        <w:jc w:val="center"/>
        <w:rPr>
          <w:b/>
        </w:rPr>
      </w:pPr>
      <w:r>
        <w:rPr>
          <w:b/>
        </w:rPr>
        <w:t>Federal Energy Regulatory Commission, et al.,</w:t>
      </w:r>
    </w:p>
    <w:p>
      <w:pPr>
        <w:pStyle w:val="BodyTextStyle"/>
        <w:jc w:val="center"/>
        <w:rPr>
          <w:b/>
          <w:u w:val="single"/>
        </w:rPr>
      </w:pPr>
      <w:r>
        <w:rPr>
          <w:b/>
          <w:u w:val="single"/>
        </w:rPr>
        <w:tab/>
        <w:tab/>
      </w:r>
    </w:p>
    <w:p>
      <w:pPr>
        <w:pStyle w:val="BodyTextStyle"/>
        <w:spacing w:lineRule="auto" w:line="240"/>
        <w:jc w:val="center"/>
        <w:rPr>
          <w:b/>
        </w:rPr>
      </w:pPr>
      <w:r>
        <w:rPr>
          <w:b/>
        </w:rPr>
        <w:t xml:space="preserve">On Writ of Certiorari to the </w:t>
      </w:r>
    </w:p>
    <w:p>
      <w:pPr>
        <w:pStyle w:val="BodyTextStyle"/>
        <w:spacing w:lineRule="auto" w:line="240"/>
        <w:jc w:val="center"/>
        <w:rPr>
          <w:b/>
        </w:rPr>
      </w:pPr>
      <w:r>
        <w:rPr>
          <w:b/>
        </w:rPr>
        <w:t xml:space="preserve">United States Court of Appeals </w:t>
      </w:r>
    </w:p>
    <w:p>
      <w:pPr>
        <w:pStyle w:val="BodyTextStyle"/>
        <w:spacing w:lineRule="auto" w:line="240"/>
        <w:jc w:val="center"/>
        <w:rPr>
          <w:b/>
        </w:rPr>
      </w:pPr>
      <w:r>
        <w:rPr>
          <w:b/>
        </w:rPr>
        <w:t>for the District of Columbia Circuit</w:t>
      </w:r>
    </w:p>
    <w:p>
      <w:pPr>
        <w:pStyle w:val="BodyTextStyle"/>
        <w:spacing w:lineRule="auto" w:line="240"/>
        <w:jc w:val="center"/>
        <w:rPr>
          <w:b/>
          <w:u w:val="single"/>
        </w:rPr>
      </w:pPr>
      <w:r>
        <w:rPr>
          <w:b/>
          <w:u w:val="single"/>
        </w:rPr>
        <w:tab/>
        <w:tab/>
      </w:r>
    </w:p>
    <w:p>
      <w:pPr>
        <w:pStyle w:val="BodyTextStyle"/>
        <w:spacing w:lineRule="auto" w:line="240"/>
        <w:jc w:val="center"/>
        <w:rPr>
          <w:b/>
          <w:u w:val="single"/>
        </w:rPr>
      </w:pPr>
      <w:r>
        <w:rPr>
          <w:b/>
          <w:u w:val="single"/>
        </w:rPr>
      </w:r>
    </w:p>
    <w:p>
      <w:pPr>
        <w:pStyle w:val="BodyTextStyle"/>
        <w:spacing w:lineRule="auto" w:line="240"/>
        <w:jc w:val="center"/>
        <w:rPr>
          <w:b/>
          <w:u w:val="single"/>
        </w:rPr>
      </w:pPr>
      <w:r>
        <w:rPr>
          <w:b/>
          <w:u w:val="single"/>
        </w:rPr>
      </w:r>
    </w:p>
    <w:p>
      <w:pPr>
        <w:pStyle w:val="BodyTextStyle"/>
        <w:spacing w:lineRule="auto" w:line="240"/>
        <w:ind w:hanging="0" w:end="0"/>
        <w:jc w:val="center"/>
        <w:rPr>
          <w:b/>
        </w:rPr>
      </w:pPr>
      <w:r>
        <w:rPr>
          <w:b/>
        </w:rPr>
        <w:t>BRIEF FOR RESPONDENT ELECTRIC POWER SUPPLY ASSOCIATION IN SUPPORT OF PETITIONER ENRON POWER MARKETING, INC.</w:t>
      </w:r>
    </w:p>
    <w:p>
      <w:pPr>
        <w:pStyle w:val="BodyTextStyle"/>
        <w:rPr/>
      </w:pPr>
      <w:r>
        <mc:AlternateContent>
          <mc:Choice Requires="wps">
            <w:drawing>
              <wp:anchor behindDoc="0" distT="0" distB="0" distL="114935" distR="114935" simplePos="0" locked="0" layoutInCell="1" allowOverlap="1" relativeHeight="13">
                <wp:simplePos x="0" y="0"/>
                <wp:positionH relativeFrom="column">
                  <wp:posOffset>-822960</wp:posOffset>
                </wp:positionH>
                <wp:positionV relativeFrom="paragraph">
                  <wp:posOffset>635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t>The Electric Power Supply Association (“EPSA”) is the national trade association representing competitive suppliers of electric power throughout the United States.  EPSA’s members are dependent upon transmission-owning electric utility companies for the interstate transmission services needed to deliver wholesale power to their customers for ultimate distribution to retail customers.</w:t>
      </w:r>
    </w:p>
    <w:p>
      <w:pPr>
        <w:pStyle w:val="BodyTextStyle"/>
        <w:ind w:hanging="0" w:end="0"/>
        <w:rPr/>
      </w:pPr>
      <w:r>
        <w:rPr/>
        <w:tab/>
        <w:t xml:space="preserve">EPSA submits this brief in support of Petitioner Enron Power Marketing, Inc., to bring to the Court’s attention matter relevant to an understanding of the practical impacts of the jurisdictional issues in this case.  In this brief, EPSA explains how FERC’s failure to exercise jurisdiction under the Federal Power Act over interstate electric transmission bundled with retail sales of power—which constitutes the majority of interstate electrical transmissions—has resulted in a regulatory gap that gives vertically integrated electric utilities significant advantages over, and incentives to discriminate against, other interstate users of the utilities’ transmission system.  EPSA incorporates herein the introductory sections of Petitioner Enron Power Marketing, Incorporated’s brief.   </w:t>
      </w:r>
    </w:p>
    <w:p>
      <w:pPr>
        <w:pStyle w:val="BodyTextStyle"/>
        <w:ind w:hanging="0" w:end="0"/>
        <w:jc w:val="center"/>
        <w:rPr>
          <w:b/>
        </w:rPr>
      </w:pPr>
      <w:r>
        <w:rPr>
          <w:b/>
        </w:rPr>
        <w:t>SUMMARY OF THE ARGUMENT</w:t>
      </w:r>
    </w:p>
    <w:p>
      <w:pPr>
        <w:pStyle w:val="BodyTextStyle"/>
        <w:ind w:hanging="0" w:end="0"/>
        <w:rPr/>
      </w:pPr>
      <w:r>
        <w:rPr/>
        <w:tab/>
        <w:t>Interstate electrical transmission bundled as part of a retail sale of electricity is, in every respect but for how it is marketed and billed to the consumer, exactly the same as any other interstate electrical transmission that FERC regulates.  It should thus be subject to the same regulations and nondiscriminatory open access transmission provisions set forth in FERC Order Nos. 888, 888-A and 888-B (referred to collectively herein as “Order No. 888”)</w:t>
      </w:r>
      <w:r>
        <w:rPr>
          <w:rStyle w:val="FootnoteCharacters"/>
          <w:rStyle w:val="FootnoteReference"/>
        </w:rPr>
        <w:footnoteReference w:id="2"/>
      </w:r>
      <w:r>
        <w:rPr/>
        <w:t xml:space="preserve"> with respect to unbundled interstate transmissions of electrical energy.  Indeed, it makes little sense for FERC to implement rules designed to promote nondiscriminatory open access to all users of the interstate electric transmission grid and then determine that the majority of interstate transmission use is not subject to those rules.  </w:t>
      </w:r>
    </w:p>
    <w:p>
      <w:pPr>
        <w:pStyle w:val="BodyTextStyle"/>
        <w:rPr/>
      </w:pPr>
      <w:r>
        <w:rPr/>
        <w:t>An examination of the practical consequences of FERC’s choosing not to exercise jurisdiction over interstate transmission when bundled with retail sales highlights why the Court should overrule the Court of Appeals’ affirmance of FERC’s renunciation of comprehensive jurisdiction over interstate transmission.  FERC’s refusal to make interstate transmission bundled with retail sales subject to nondiscriminatory open access rules automatically allows utilities to discriminate in favor of the utilities’ own sales, denying others equal access to interstate transmission.  Because FERC’s jurisdiction over interstate transmission is exclusive, its refusal to exercise its jurisdiction has created an unnecessary and unacceptable regulatory gap over interstate transmission used to serve retail load, which comprises the majority of interstate transmission service.  This absence of governmental oversight has allowed public utilities to manipulate schedules and system dispatch to their own benefit without fear of discovery or serious reprisal.  FERC itself implicitly has acknowledged the problems created by its jurisdictional interpretation and attempted to address them in its Order No. 2000,</w:t>
      </w:r>
      <w:r>
        <w:rPr>
          <w:rStyle w:val="FootnoteCharacters"/>
          <w:rStyle w:val="FootnoteReference"/>
        </w:rPr>
        <w:footnoteReference w:id="3"/>
      </w:r>
      <w:r>
        <w:rPr/>
        <w:t xml:space="preserve"> where FERC has recognized that nondiscriminatory interstate transmission access cannot be assured unless all transmission use, including that bundled with retail sales, is required to be scheduled pursuant to a FERC-jurisdictional Open Access Transmission Tariff.</w:t>
      </w:r>
    </w:p>
    <w:p>
      <w:pPr>
        <w:pStyle w:val="BodyTextStyle"/>
        <w:rPr/>
      </w:pPr>
      <w:r>
        <w:rPr/>
      </w:r>
    </w:p>
    <w:p>
      <w:pPr>
        <w:pStyle w:val="BodyTextStyle"/>
        <w:ind w:hanging="0" w:end="0"/>
        <w:jc w:val="center"/>
        <w:rPr>
          <w:b/>
        </w:rPr>
      </w:pPr>
      <w:r>
        <w:rPr>
          <w:b/>
        </w:rPr>
        <w:t>ARGUMENT</w:t>
      </w:r>
    </w:p>
    <w:p>
      <w:pPr>
        <w:pStyle w:val="BodyTextStyle"/>
        <w:rPr/>
      </w:pPr>
      <w:r>
        <w:rPr/>
        <w:t xml:space="preserve">FERC’s decision creates a regulatory gap in which utilities can avoid government regulation and oversight over the bulk of their interstate transmission.  A closer look at the practical nature and consequences of FERC’s truncation of its exclusive jurisdiction to prevent undue preference or discrimination in the provision of all interstate transmission service confirms the error of that decision. </w:t>
      </w:r>
    </w:p>
    <w:p>
      <w:pPr>
        <w:pStyle w:val="BodyTextStyle"/>
        <w:rPr/>
      </w:pPr>
      <w:r>
        <w:rPr/>
      </w:r>
    </w:p>
    <w:p>
      <w:pPr>
        <w:pStyle w:val="BodyTextStyle"/>
        <w:spacing w:lineRule="auto" w:line="240"/>
        <w:ind w:hanging="720" w:start="720" w:end="0"/>
        <w:rPr>
          <w:b/>
        </w:rPr>
      </w:pPr>
      <w:r>
        <w:rPr>
          <w:b/>
        </w:rPr>
        <w:t>I.</w:t>
        <w:tab/>
        <w:t>FERC’s Disavowal Of Its Exclusive Jurisdiction Relies On A Meaningless Distinction To Create A Regulatory Gap Over The Majority Of Interstate Transmission Service.</w:t>
      </w:r>
    </w:p>
    <w:p>
      <w:pPr>
        <w:pStyle w:val="BodyTextStyle"/>
        <w:rPr/>
      </w:pPr>
      <w:r>
        <w:rPr/>
        <w:t>Under Section 205 of the Federal Power Act (“FPA”)</w:t>
      </w:r>
      <w:r>
        <w:rPr>
          <w:rStyle w:val="FootnoteCharacters"/>
          <w:rStyle w:val="FootnoteReference"/>
        </w:rPr>
        <w:footnoteReference w:id="4"/>
      </w:r>
      <w:r>
        <w:rPr/>
        <w:t xml:space="preserve"> Congress vested in FERC the exclusive authority to bar public utilities from granting any undue preference or advantage to any person with respect to interstate electric transmission service.  Because FERC has failed to accept that exclusive jurisdiction over transmission bundled with retail sales, there now is no regulatory supervision—either federal or state—over the  reservation and use of 80 to 85 percent of the available interstate electric transmission capacity in this country, which is used by utilities to serve retail customers.</w:t>
      </w:r>
      <w:r>
        <w:rPr>
          <w:rStyle w:val="FootnoteCharacters"/>
          <w:rStyle w:val="FootnoteReference"/>
        </w:rPr>
        <w:footnoteReference w:id="5"/>
      </w:r>
      <w:r>
        <w:rPr/>
        <w:t xml:space="preserve">  FERC’s creation of this regulatory gap is based upon the fallacy that interstate transmission, when part of a retail sale and not billed as a separate service, ceases to exist as such, becoming instead merely part of a retail sale that is beyond the Commission’s jurisdiction.  This is a distinction without meaning, and it has produced and continues to produce conditions where vertically integrated utilities can freely discriminate against other transmission users when serving—or purporting to serve—their own captive wholesale and retail customers.  </w:t>
      </w:r>
    </w:p>
    <w:p>
      <w:pPr>
        <w:pStyle w:val="BodyTextStyle"/>
        <w:rPr/>
      </w:pPr>
      <w:r>
        <w:rPr/>
        <w:t>The bundled/unbundled distinction fails to recognize that the inherent nature of interstate transmission of electricity does not change merely because it is bundled for billing purposes as a component of a retail sale of electricity.  A utility’s use of interstate transmission on behalf of its retail customers has all the same physical characteristics, utilizes the same transmission facilities, and crosses the same interstate borders as all other interstate transmissions of electricity.  The only difference is whether the utility labels transmission as a separate product from energy consumed at retail.</w:t>
      </w:r>
    </w:p>
    <w:p>
      <w:pPr>
        <w:pStyle w:val="BodyTextStyle"/>
        <w:rPr/>
      </w:pPr>
      <w:r>
        <w:rPr/>
        <w:t xml:space="preserve">For most of the prior century, the Commission’s failure to assert jurisdiction over the transmission component of bundled retail power service reflected the physical and commercial reality that transmission was used exclusively to deliver a bundled product to captive retail customers.  That FERC left such transmission unregulated was both pragmatic and understandable in view of the states’ regulation of retail power sales and the near complete absence of wholesale competition.  This is, however, an antiquated view.  Transmission services now are a separate and separable component of nearly every delivery of electric power and should be regulated consistent with FERC’s exclusive jurisdiction and responsibility to prevent discrimination, which the states are unable to remedy. </w:t>
      </w:r>
    </w:p>
    <w:p>
      <w:pPr>
        <w:pStyle w:val="BodyTextStyle"/>
        <w:rPr/>
      </w:pPr>
      <w:r>
        <w:rPr/>
        <w:t xml:space="preserve">Notwithstanding the fact that interstate transmission service is easily separated into a verifiable component of retail sales, FERC has determined that it will not exercise its exclusive jurisdiction over the interstate transmission component unless transmission-owning utilities—the very ones who benefit from discriminatorily controlling access to their transmission facilities—make the unlikely choice to unbundle interstate transmission service from their retail electric sales, or are ordered to do so as part of a state electric restructuring program that would unbundle retail sales to allow customers to choose their own retail suppliers of electricity.  Consequently, jurisdiction of the Commission over interstate transmission and the scope of its authority to remedy undue discrimination through nondiscriminatory open access depends wholly on a utility’s business decision or a state’s regulatory choice regarding when and whether to unbundle retail electric sales.  FERC has thus effectively delegated the scope of its exclusive jurisdiction over interstate transmission down to the parochial decisions of transmission-owning public utilities and the states.  </w:t>
      </w:r>
    </w:p>
    <w:p>
      <w:pPr>
        <w:pStyle w:val="BodyTextStyle"/>
        <w:rPr/>
      </w:pPr>
      <w:r>
        <w:rPr/>
        <w:t xml:space="preserve">Given that Congress has given comprehensive and exclusive jurisdiction over interstate transmission to FERC, however, FERC’s abdication of that authority is impermissible.  Indeed, it is in direct conflict with this Court’s holding in </w:t>
      </w:r>
      <w:r>
        <w:rPr>
          <w:i/>
        </w:rPr>
        <w:t>Philips Petroleum v. Wisconsin</w:t>
      </w:r>
      <w:r>
        <w:rPr/>
        <w:t>, 347 U.S. 672 (1954), where the Court held that the jurisdiction of the Federal Power Commission was not intended to vary from state to state, depending upon the degree of state regulation and of state opposition to federal control.</w:t>
      </w:r>
    </w:p>
    <w:p>
      <w:pPr>
        <w:pStyle w:val="BodyTextStyle"/>
        <w:rPr/>
      </w:pPr>
      <w:r>
        <w:rPr/>
      </w:r>
    </w:p>
    <w:p>
      <w:pPr>
        <w:pStyle w:val="BodyTextStyle"/>
        <w:spacing w:lineRule="auto" w:line="240"/>
        <w:ind w:hanging="720" w:start="720" w:end="0"/>
        <w:rPr>
          <w:b/>
          <w:u w:val="single"/>
        </w:rPr>
      </w:pPr>
      <w:r>
        <w:rPr>
          <w:b/>
        </w:rPr>
        <w:t>II.</w:t>
        <w:tab/>
        <w:t>FERC’s Refusal To Exercise Its Exclusive Jurisdiction Has Perpetuated Conditions That Allow Undue Discrimination Against Other Users Of Interstate Transmission Services.</w:t>
      </w:r>
    </w:p>
    <w:p>
      <w:pPr>
        <w:pStyle w:val="BodyTextStyle"/>
        <w:ind w:firstLine="720" w:end="0"/>
        <w:rPr/>
      </w:pPr>
      <w:r>
        <w:rPr/>
        <w:t>FERC’s delegation and resultant lack of regulatory control to guard against abuses in the use of interstate transmission perpetuates conditions that allow transmission-owning public utilities to discriminate in favor of the public utilities’ own power sales and against entities that are dependent upon those public utilities’ transmission systems to deliver or receive electricity.  The following examples illustrate certain discriminatory practices that transmission-owning utilities have employed against transmission-dependent members of EPSA.  Absent regulatory oversight, abuses like these will continue to occur.</w:t>
      </w:r>
      <w:r>
        <w:rPr>
          <w:rStyle w:val="FootnoteCharacters"/>
          <w:rStyle w:val="FootnoteReference"/>
        </w:rPr>
        <w:footnoteReference w:id="6"/>
      </w:r>
    </w:p>
    <w:p>
      <w:pPr>
        <w:pStyle w:val="BodyTextStyle"/>
        <w:ind w:hanging="0" w:end="0"/>
        <w:rPr/>
      </w:pPr>
      <w:r>
        <w:rPr/>
        <w:tab/>
      </w:r>
      <w:r>
        <w:rPr>
          <w:i/>
        </w:rPr>
        <w:t>Improperly Blocking Available Transfer Capacity By Overscheduling Transmission For Retail Loads</w:t>
      </w:r>
      <w:r>
        <w:rPr/>
        <w:t>:  Not being subject to FERC’s nondiscriminatory transmission access rules, transmission owning utilities with captive retail customers can “block” available transfer capability (</w:t>
      </w:r>
      <w:r>
        <w:rPr>
          <w:i/>
        </w:rPr>
        <w:t>i.e.</w:t>
      </w:r>
      <w:r>
        <w:rPr/>
        <w:t>, the capability of the physical transmission network to accommodate further commercial activity over and above its committed uses) across particularly valuable interconnections to the interstate transmission grid.  They do so by heavily scheduling across the interconnection, claiming that the transmission capacity is needed to serve their own retail customers, whether or not there is such a need.  By thus arbitrarily limiting the publicly available transfer capability over a particular transmission interface, the utility can block a transmission-dependent entity within its system from acquiring low cost sources of power over that interface, and thereby eliminate competition for buying that power within its traditional service territory.  A vertically integrated utility or transmission-owning affiliate of a generator also can utilize this same method (</w:t>
      </w:r>
      <w:r>
        <w:rPr>
          <w:i/>
        </w:rPr>
        <w:t>i.e.</w:t>
      </w:r>
      <w:r>
        <w:rPr/>
        <w:t xml:space="preserve">, overscheduling transmission capacity needed to serve its own retail load, thus blocking most of the available transfer capacity) to limit competitors’ abilities to sell power </w:t>
      </w:r>
      <w:r>
        <w:rPr>
          <w:i/>
        </w:rPr>
        <w:t>out</w:t>
      </w:r>
      <w:r>
        <w:rPr/>
        <w:t xml:space="preserve"> of the utilities’ control areas through that interface.</w:t>
      </w:r>
    </w:p>
    <w:p>
      <w:pPr>
        <w:pStyle w:val="BodyTextStyle"/>
        <w:rPr/>
      </w:pPr>
      <w:r>
        <w:rPr>
          <w:i/>
        </w:rPr>
        <w:t>Improper Import/Export Practices</w:t>
      </w:r>
      <w:r>
        <w:rPr/>
        <w:t>:  Local utility merchant entities or utility marketing affiliates can reserve access to valuable import paths, under the guise of obtaining power in conjunction with bundled retail sales, only to simultaneously export the utility’s own generation in amounts equal to or greater than what it imports.  By importing and exporting power in this manner, the public utility can unfairly compete against wholesale suppliers in its control area by “bottlenecking” import interfaces, and thus cornering the opportunity to buy and deliver-in cheap power from an adjoining area.  This will lessen competition in the export market.</w:t>
      </w:r>
      <w:r>
        <w:rPr>
          <w:i/>
        </w:rPr>
        <w:t xml:space="preserve">  </w:t>
      </w:r>
    </w:p>
    <w:p>
      <w:pPr>
        <w:pStyle w:val="BodyTextStyle"/>
        <w:ind w:hanging="0" w:end="0"/>
        <w:rPr/>
      </w:pPr>
      <w:r>
        <w:rPr>
          <w:i/>
        </w:rPr>
        <w:tab/>
        <w:t xml:space="preserve">Improper Avoidance of Costs:  </w:t>
      </w:r>
      <w:r>
        <w:rPr/>
        <w:t xml:space="preserve">A transmission provider can purchase energy for peak service to its own native retail load, schedule the import of that energy for a day ahead, and designate itself as the user of the energy for its retail load.  This allows the transmission provider to pay no separate transmission charge to import the energy into its service territory.  In the next day hourly market, the transmission provider or its marketing affiliate can sell the energy as “non-peak” to a neighboring control area and pay only a transmission charge for exporting that energy.  Other transmission customers would be prohibited from scheduling such power for a day ahead without charge, “parking” that power, and then deciding to transfer energy out the next day in the hourly market.  Rather, such customers would have to pay for transmitting that power </w:t>
      </w:r>
      <w:r>
        <w:rPr>
          <w:i/>
        </w:rPr>
        <w:t>into and out of</w:t>
      </w:r>
      <w:r>
        <w:rPr/>
        <w:t xml:space="preserve"> the initial transmission provider’s system.  During off-peak periods when a transmission provider is selling at wholesale the power it has paid nothing to import, its wholesale competitors are severely and unfairly disadvantaged.  Under FERC’s interpretation of the FPA, because utilities do not have to publicly disclose their retail load schedules, this conduct is difficult, if not impossible to monitor.</w:t>
      </w:r>
    </w:p>
    <w:p>
      <w:pPr>
        <w:pStyle w:val="BodyTextStyle"/>
        <w:rPr/>
      </w:pPr>
      <w:r>
        <w:rPr>
          <w:i/>
        </w:rPr>
        <w:t>Failing To Make Accurate Disclosure Of Available Transfer Capacity</w:t>
      </w:r>
      <w:r>
        <w:rPr/>
        <w:t xml:space="preserve">:  Utilities that do not have to procure transmission on a comparable basis to their competitors likewise do not have to report transmission reserved for their retail loads on the Open Access Same-Time Information System (“OASIS”; </w:t>
      </w:r>
      <w:r>
        <w:rPr>
          <w:i/>
        </w:rPr>
        <w:t>i.e.</w:t>
      </w:r>
      <w:r>
        <w:rPr/>
        <w:t>, the computerized transmission availability and scheduling system on which public utilities must publicly post transmission availability and transactions pursuant to Order No. 888’s companion order, FERC Order No. 889</w:t>
      </w:r>
      <w:r>
        <w:rPr>
          <w:rStyle w:val="FootnoteCharacters"/>
          <w:rStyle w:val="FootnoteReference"/>
        </w:rPr>
        <w:footnoteReference w:id="7"/>
      </w:r>
      <w:r>
        <w:rPr/>
        <w:t xml:space="preserve">) and therefore have no incentive to produce accurate calculations of available transfer capability.  This can cause serious difficulties for suppliers attempting to schedule electricity sales across congested transmission facilities.  These reporting inaccuracies are cumulative in effect across geographic regions, often resulting in the underreporting of hundreds of megawatts of additional available transfer capability.  This under-reporting has serious consequences for suppliers or marketers that rely on OASIS information to schedule their power sales to buyers, at times forcing them to incur substantial losses due to the inability to schedule into regions where the amount of available capacity has been reported inaccurately.  </w:t>
      </w:r>
    </w:p>
    <w:p>
      <w:pPr>
        <w:pStyle w:val="BodyTextStyle"/>
        <w:ind w:firstLine="720" w:end="0"/>
        <w:rPr/>
      </w:pPr>
      <w:r>
        <w:rPr/>
        <w:t>These examples show FERC’s decision to limit its jurisdiction and the applicability of Order No. 888 not only nullifies nondiscriminatory access; it also creates the opportunity for manipulation to frustrate wholesale competition and eliminates incentives for public utility transmission providers to accurately disclose surplus transmission capacity.  These problems are particularly acute when transmission capacity is tight.</w:t>
      </w:r>
    </w:p>
    <w:p>
      <w:pPr>
        <w:pStyle w:val="BodyTextStyle"/>
        <w:ind w:firstLine="720" w:end="0"/>
        <w:rPr/>
      </w:pPr>
      <w:r>
        <w:rPr/>
        <w:t xml:space="preserve">FERC’s refusal to exercise its exclusive jurisdiction over bundled transmission, however, makes redress of these discriminatory practices nearly impossible.  The lack of public access to a utility’s retail load and transmission data creates a considerable informational void given that the majority of transmission reservations are for native retail load.  Without OASIS postings or any other regulatory oversight for the majority of transmissions, it is difficult, if not impossible, for FERC or any potential competitor to obtain information to prove that transmission owning utilities are engaging in discriminatory conduct by manipulating their scheduling and system dispatch to adversely affect wholesale transmission (the only transmission over which FERC lays claim).  Moreover, the types of discriminatory actions described above occur within a period of minutes or hours.  By the time the FERC could conceivably take any action, a disadvantaged competitor’s usage opportunity would have passed.  Finally, the only refund relief that FERC can grant under the FPA is prospective in nature; </w:t>
      </w:r>
      <w:r>
        <w:rPr>
          <w:i/>
        </w:rPr>
        <w:t>i.e,</w:t>
      </w:r>
      <w:r>
        <w:rPr/>
        <w:t xml:space="preserve"> not earlier than 60 days after the filing of the complaint.</w:t>
      </w:r>
      <w:r>
        <w:rPr>
          <w:rStyle w:val="FootnoteCharacters"/>
          <w:rStyle w:val="FootnoteReference"/>
        </w:rPr>
        <w:footnoteReference w:id="8"/>
      </w:r>
      <w:r>
        <w:rPr/>
        <w:t xml:space="preserve">  </w:t>
      </w:r>
    </w:p>
    <w:p>
      <w:pPr>
        <w:pStyle w:val="BodyTextStyle"/>
        <w:rPr/>
      </w:pPr>
      <w:r>
        <w:rPr/>
        <w:t>Likewise, any complaints filed with a state utility commission would be limited to addressing a transmission-owning utility’s manipulation of bundled retail sales over which the state would have jurisdiction.  The states have no jurisdictional authority to order the utility to provide wholesale transmission service.  Even if state jurisdiction could be established over a transmission dispute, there still would likely be a preference for constituents served by the transmission-owning utility versus the interstate business interests of an energy wholesaler. Where a transmission-owning utility engages in discriminatory acts that restrict an electricity wholesaler from serving customers in a neighboring state, the issue is inherently an interstate dispute that should be subject to FERC jurisdiction.</w:t>
      </w:r>
    </w:p>
    <w:p>
      <w:pPr>
        <w:pStyle w:val="BodyTextStyle"/>
        <w:ind w:firstLine="720" w:end="0"/>
        <w:rPr/>
      </w:pPr>
      <w:r>
        <w:rPr/>
        <w:t xml:space="preserve">Put simply, without FERC regulation of interstate transmission bundled with retail sales, meaningful redress of discrimination will remain difficult, if not impossible, to attain. </w:t>
      </w:r>
    </w:p>
    <w:p>
      <w:pPr>
        <w:pStyle w:val="BodyTextStyle"/>
        <w:ind w:firstLine="720" w:end="0"/>
        <w:rPr/>
      </w:pPr>
      <w:r>
        <w:rPr/>
      </w:r>
    </w:p>
    <w:p>
      <w:pPr>
        <w:pStyle w:val="BodyTextStyle"/>
        <w:spacing w:lineRule="auto" w:line="240"/>
        <w:ind w:hanging="720" w:start="720" w:end="0"/>
        <w:rPr>
          <w:b/>
        </w:rPr>
      </w:pPr>
      <w:r>
        <w:rPr>
          <w:b/>
        </w:rPr>
        <w:t>III.</w:t>
        <w:tab/>
        <w:t>FERC’s Treatment Of Its Jurisdiction Over Interstate Transmission In Order No. 888 Is Inconsistent With Its Treatment Of Interstate Transmission Under Order No. 2000.</w:t>
      </w:r>
    </w:p>
    <w:p>
      <w:pPr>
        <w:pStyle w:val="BodyTextStyle"/>
        <w:ind w:firstLine="720" w:end="0"/>
        <w:rPr/>
      </w:pPr>
      <w:r>
        <w:rPr/>
        <w:t>FERC is aware of the problems created by its jurisdictional interpretation.  Indeed, FERC has recognized the need for centralized control over and equal access to all transmission, including transmission bundled with retail sales in its Order No. 2000, where it established rules for the formation of Regional Transmission Organizations (“RTOs”).  RTOs are intended to provide one-stop shopping for and control all aspects of interstate transmission service in large regions of the country, by functionally controlling or owning the transmission grid in their particular area.  Section 35.34(k)(1) of the FERC’s regulations resulting from Order No. 2000 requires that:</w:t>
      </w:r>
    </w:p>
    <w:p>
      <w:pPr>
        <w:pStyle w:val="BlockQuote"/>
        <w:rPr>
          <w:rFonts w:ascii="Times New Roman" w:hAnsi="Times New Roman" w:cs="Times New Roman"/>
        </w:rPr>
      </w:pPr>
      <w:r>
        <w:rPr>
          <w:rFonts w:cs="Times New Roman" w:ascii="Times New Roman" w:hAnsi="Times New Roman"/>
        </w:rPr>
        <w:t>The Regional Transmission Organization must be the only provider of transmission service over the facilities under its control and must be the sole administrator of its own Commission-approved open access transmission tariff.  The Regional Transmission Organization must have the sole authority to receive, evaluate, and approve or deny all requests for transmission service.  The Regional Transmission Organization must have the authority to review and approve requests for new interconnections.</w:t>
      </w:r>
      <w:r>
        <w:rPr>
          <w:rStyle w:val="FootnoteCharacters"/>
          <w:rStyle w:val="FootnoteReference"/>
          <w:rFonts w:cs="Times New Roman" w:ascii="Times New Roman" w:hAnsi="Times New Roman"/>
        </w:rPr>
        <w:footnoteReference w:id="9"/>
      </w:r>
    </w:p>
    <w:p>
      <w:pPr>
        <w:pStyle w:val="BodyTextStyle"/>
        <w:rPr/>
      </w:pPr>
      <w:r>
        <w:rPr/>
        <w:t>Order No. 2000 makes no distinctions between transmission service for wholesale sales and transmission bundled with retail sales.</w:t>
      </w:r>
      <w:r>
        <w:rPr>
          <w:rStyle w:val="FootnoteCharacters"/>
        </w:rPr>
        <w:t xml:space="preserve"> </w:t>
      </w:r>
      <w:r>
        <w:rPr>
          <w:rStyle w:val="FootnoteCharacters"/>
          <w:rStyle w:val="FootnoteReference"/>
        </w:rPr>
        <w:footnoteReference w:id="10"/>
      </w:r>
      <w:r>
        <w:rPr/>
        <w:t xml:space="preserve">  For an RTO to be approved, all transmission, </w:t>
      </w:r>
      <w:r>
        <w:rPr>
          <w:i/>
        </w:rPr>
        <w:t>including that bundled with retail sales</w:t>
      </w:r>
      <w:r>
        <w:rPr/>
        <w:t>, must be subject to the RTO’s FERC-jurisdictional Open Access Transmission Tariff.  In other words, FERC has recognized that the states have jurisdiction over how retail electric sales are packaged and offered to the customer, but FERC has jurisdiction over all interstate transmission, regardless of how it is offered or billed when it is procured under an RTO transmission tariff.</w:t>
      </w:r>
      <w:r>
        <w:rPr>
          <w:rStyle w:val="FootnoteCharacters"/>
          <w:rStyle w:val="FootnoteReference"/>
        </w:rPr>
        <w:footnoteReference w:id="11"/>
      </w:r>
      <w:r>
        <w:rPr/>
        <w:t xml:space="preserve">  FERC’s acknowledgment further illustrates that the “bundled retail” distinction is one without substance—interstate transmission is interstate transmission.</w:t>
      </w:r>
    </w:p>
    <w:p>
      <w:pPr>
        <w:pStyle w:val="BodyTextStyle"/>
        <w:rPr/>
      </w:pPr>
      <w:r>
        <w:rPr/>
        <w:t xml:space="preserve">Indeed, in a recent FERC case commenting on Order No. 2000, the FERC recognized that </w:t>
      </w:r>
    </w:p>
    <w:p>
      <w:pPr>
        <w:pStyle w:val="BlockQuote"/>
        <w:rPr/>
      </w:pPr>
      <w:r>
        <w:rPr>
          <w:rFonts w:cs="Times New Roman" w:ascii="Times New Roman" w:hAnsi="Times New Roman"/>
        </w:rPr>
        <w:t>With the RTO acting as the sole provider of transmission service, transmission customers are afforded access to regional transmission facilities on a non-discriminatory and uniform basis.  This type of access cannot be assured if customers are required to deal with several transmission owners with differing tariff terms and conditions.  As noted in Order No. 2000, the RTO must be the provider of transmission service in the fullest sense of the term.  Mere monitoring and dispute resolution are insufficient to meet the requirements of this standard.[</w:t>
      </w:r>
      <w:r>
        <w:rPr>
          <w:rStyle w:val="FootnoteCharacters"/>
          <w:rStyle w:val="FootnoteReference"/>
          <w:rFonts w:cs="Times New Roman" w:ascii="Times New Roman" w:hAnsi="Times New Roman"/>
        </w:rPr>
        <w:footnoteReference w:id="12"/>
      </w:r>
      <w:r>
        <w:rPr>
          <w:rFonts w:cs="Times New Roman" w:ascii="Times New Roman" w:hAnsi="Times New Roman"/>
        </w:rPr>
        <w:t>]</w:t>
      </w:r>
    </w:p>
    <w:p>
      <w:pPr>
        <w:pStyle w:val="BodyTextStyle"/>
        <w:rPr/>
      </w:pPr>
      <w:r>
        <w:rPr/>
        <w:t xml:space="preserve">In this same case, the FERC rejected aspects of an application to form an RTO where the applicants proposed to limit the RTO to only new wholesale transmission services, which would have excluded existing retail and wholesale native load, holding that </w:t>
      </w:r>
    </w:p>
    <w:p>
      <w:pPr>
        <w:pStyle w:val="BlockQuote"/>
        <w:rPr>
          <w:rFonts w:ascii="Times New Roman" w:hAnsi="Times New Roman" w:cs="Times New Roman"/>
        </w:rPr>
      </w:pPr>
      <w:r>
        <w:rPr>
          <w:rFonts w:cs="Times New Roman" w:ascii="Times New Roman" w:hAnsi="Times New Roman"/>
        </w:rPr>
        <w:t>Because the vast majority of total transmission load will be excluded from [the proposed RTO’s] tariff, [the proposed RTO] will not be able to function as a viable, stand-alone transmission business providing “one-stop shopping”, as we intend RTOs to function.</w:t>
      </w:r>
    </w:p>
    <w:p>
      <w:pPr>
        <w:pStyle w:val="BodyTextStyle"/>
        <w:rPr/>
      </w:pPr>
      <w:r>
        <w:rPr/>
        <w:t>Requiring an RTO to exercise control over all transmission, including that bundled with retail sales, pursuant to a FERC-approved Open Access Transmission Tariff is an ineffective substitute for direct jurisdictional authority.  All RTOs are strictly voluntary organizations,</w:t>
      </w:r>
      <w:r>
        <w:rPr>
          <w:rStyle w:val="FootnoteCharacters"/>
          <w:rStyle w:val="FootnoteReference"/>
        </w:rPr>
        <w:footnoteReference w:id="13"/>
      </w:r>
      <w:r>
        <w:rPr/>
        <w:t xml:space="preserve"> and no RTO has yet to receive final FERC approval.  Thus, FERC should be required to revise its application of Order No. 888 and properly subject all interstate transmission to the same nondiscriminatory, open-access requirements. </w:t>
      </w:r>
    </w:p>
    <w:p>
      <w:pPr>
        <w:pStyle w:val="BodyTextStyle"/>
        <w:rPr/>
      </w:pPr>
      <w:r>
        <w:rPr/>
      </w:r>
    </w:p>
    <w:p>
      <w:pPr>
        <w:pStyle w:val="BodyTextStyle"/>
        <w:ind w:hanging="0" w:end="0"/>
        <w:jc w:val="center"/>
        <w:rPr>
          <w:b/>
        </w:rPr>
      </w:pPr>
      <w:r>
        <w:rPr>
          <w:b/>
        </w:rPr>
        <w:t>CONCLUSION</w:t>
      </w:r>
    </w:p>
    <w:p>
      <w:pPr>
        <w:pStyle w:val="BodyTextStyle"/>
        <w:ind w:hanging="0" w:end="0"/>
        <w:rPr/>
      </w:pPr>
      <w:r>
        <w:rPr/>
        <w:tab/>
        <w:t xml:space="preserve">The Court of Appeals’ decision should be reversed insofar as it affirms FERC’s holding that its jurisdiction does not include interstate transmission bundled with local service. </w:t>
      </w:r>
    </w:p>
    <w:p>
      <w:pPr>
        <w:pStyle w:val="BodyTextStyle"/>
        <w:ind w:hanging="0" w:end="0"/>
        <w:rPr/>
      </w:pPr>
      <w:r>
        <w:rPr/>
      </w:r>
    </w:p>
    <w:p>
      <w:pPr>
        <w:pStyle w:val="BodyTextStyle"/>
        <w:ind w:hanging="0" w:end="0"/>
        <w:rPr/>
      </w:pPr>
      <w:r>
        <w:rPr/>
        <w:tab/>
        <w:tab/>
        <w:tab/>
        <w:tab/>
        <w:tab/>
        <w:tab/>
        <w:t>Respectfully submitted,</w:t>
      </w:r>
    </w:p>
    <w:p>
      <w:pPr>
        <w:pStyle w:val="BodyTextStyle"/>
        <w:ind w:hanging="0" w:end="0"/>
        <w:rPr/>
      </w:pPr>
      <w:r>
        <w:rPr/>
      </w:r>
    </w:p>
    <w:p>
      <w:pPr>
        <w:pStyle w:val="BodyTextStyle"/>
        <w:spacing w:lineRule="auto" w:line="240"/>
        <w:ind w:hanging="0" w:end="0"/>
        <w:rPr/>
      </w:pPr>
      <w:r>
        <w:rPr/>
        <w:tab/>
        <w:tab/>
        <w:tab/>
        <w:tab/>
        <w:tab/>
        <w:tab/>
      </w:r>
      <w:r>
        <w:rPr>
          <w:smallCaps/>
        </w:rPr>
        <w:t>James vanR. Springer</w:t>
      </w:r>
    </w:p>
    <w:p>
      <w:pPr>
        <w:pStyle w:val="BodyTextStyle"/>
        <w:spacing w:lineRule="auto" w:line="240"/>
        <w:ind w:hanging="0" w:end="0"/>
        <w:rPr/>
      </w:pPr>
      <w:r>
        <w:rPr/>
        <w:tab/>
        <w:tab/>
        <w:tab/>
        <w:tab/>
        <w:tab/>
        <w:tab/>
        <w:tab/>
      </w:r>
      <w:r>
        <w:rPr>
          <w:i/>
        </w:rPr>
        <w:t>Counsel of Record</w:t>
      </w:r>
    </w:p>
    <w:p>
      <w:pPr>
        <w:pStyle w:val="BodyTextStyle"/>
        <w:spacing w:lineRule="auto" w:line="240"/>
        <w:ind w:hanging="0" w:end="0"/>
        <w:rPr/>
      </w:pPr>
      <w:r>
        <w:rPr>
          <w:i/>
        </w:rPr>
        <w:tab/>
        <w:tab/>
        <w:tab/>
        <w:tab/>
        <w:tab/>
        <w:tab/>
      </w:r>
      <w:r>
        <w:rPr>
          <w:smallCaps/>
        </w:rPr>
        <w:t>Larry F. Eisenstat</w:t>
      </w:r>
    </w:p>
    <w:p>
      <w:pPr>
        <w:pStyle w:val="BodyTextStyle"/>
        <w:spacing w:lineRule="auto" w:line="240"/>
        <w:ind w:hanging="0" w:end="0"/>
        <w:rPr/>
      </w:pPr>
      <w:r>
        <w:rPr/>
        <w:tab/>
        <w:tab/>
        <w:tab/>
        <w:tab/>
        <w:tab/>
        <w:tab/>
      </w:r>
      <w:r>
        <w:rPr>
          <w:smallCaps/>
        </w:rPr>
        <w:t>Michael J. Rustum</w:t>
      </w:r>
    </w:p>
    <w:p>
      <w:pPr>
        <w:pStyle w:val="BodyTextStyle"/>
        <w:spacing w:lineRule="auto" w:line="240"/>
        <w:ind w:hanging="0" w:end="0"/>
        <w:rPr>
          <w:smallCaps/>
        </w:rPr>
      </w:pPr>
      <w:r>
        <w:rPr>
          <w:smallCaps/>
        </w:rPr>
        <w:tab/>
        <w:tab/>
        <w:tab/>
        <w:tab/>
        <w:tab/>
        <w:tab/>
        <w:t>Steven L. Miller</w:t>
      </w:r>
    </w:p>
    <w:p>
      <w:pPr>
        <w:pStyle w:val="SignatureBlock"/>
        <w:spacing w:lineRule="auto" w:line="240"/>
        <w:ind w:firstLine="720" w:start="3600" w:end="0"/>
        <w:rPr>
          <w:rFonts w:ascii="Times New Roman" w:hAnsi="Times New Roman" w:cs="Times New Roman"/>
        </w:rPr>
      </w:pPr>
      <w:r>
        <w:rPr>
          <w:rFonts w:cs="Times New Roman" w:ascii="Times New Roman" w:hAnsi="Times New Roman"/>
          <w:smallCaps/>
        </w:rPr>
        <w:tab/>
        <w:tab/>
        <w:tab/>
        <w:tab/>
        <w:tab/>
        <w:tab/>
        <w:tab/>
        <w:t>Dickstein Shapiro Morin &amp; Oshinsky LLP</w:t>
      </w:r>
    </w:p>
    <w:p>
      <w:pPr>
        <w:pStyle w:val="SignatureBlock"/>
        <w:spacing w:lineRule="auto" w:line="240"/>
        <w:ind w:firstLine="720" w:start="3600" w:end="0"/>
        <w:rPr>
          <w:rFonts w:ascii="Times New Roman" w:hAnsi="Times New Roman" w:cs="Times New Roman"/>
        </w:rPr>
      </w:pPr>
      <w:r>
        <w:rPr>
          <w:rFonts w:cs="Times New Roman" w:ascii="Times New Roman" w:hAnsi="Times New Roman"/>
        </w:rPr>
        <w:t>2101 L. St., N.W.</w:t>
      </w:r>
    </w:p>
    <w:p>
      <w:pPr>
        <w:pStyle w:val="SignatureBlock"/>
        <w:spacing w:lineRule="auto" w:line="240"/>
        <w:ind w:firstLine="720" w:start="3600" w:end="0"/>
        <w:rPr>
          <w:rFonts w:ascii="Times New Roman" w:hAnsi="Times New Roman" w:cs="Times New Roman"/>
        </w:rPr>
      </w:pPr>
      <w:r>
        <w:rPr>
          <w:rFonts w:cs="Times New Roman" w:ascii="Times New Roman" w:hAnsi="Times New Roman"/>
        </w:rPr>
        <w:t>Washington, D.C. 20037</w:t>
      </w:r>
    </w:p>
    <w:p>
      <w:pPr>
        <w:pStyle w:val="SignatureBlock"/>
        <w:spacing w:lineRule="auto" w:line="240"/>
        <w:ind w:firstLine="720" w:start="3600" w:end="0"/>
        <w:rPr>
          <w:rFonts w:ascii="Times New Roman" w:hAnsi="Times New Roman" w:cs="Times New Roman"/>
        </w:rPr>
      </w:pPr>
      <w:r>
        <w:rPr>
          <w:rFonts w:cs="Times New Roman" w:ascii="Times New Roman" w:hAnsi="Times New Roman"/>
        </w:rPr>
      </w:r>
    </w:p>
    <w:p>
      <w:pPr>
        <w:pStyle w:val="SignatureBlock"/>
        <w:spacing w:lineRule="auto" w:line="240"/>
        <w:ind w:start="0" w:end="0"/>
        <w:rPr>
          <w:rFonts w:ascii="Times New Roman" w:hAnsi="Times New Roman" w:cs="Times New Roman"/>
          <w:i/>
          <w:i/>
        </w:rPr>
      </w:pPr>
      <w:r>
        <w:rPr>
          <w:rFonts w:cs="Times New Roman" w:ascii="Times New Roman" w:hAnsi="Times New Roman"/>
          <w:i/>
        </w:rPr>
        <w:t xml:space="preserve">Counsel for Respondent Electric Power Supply Association </w:t>
      </w:r>
    </w:p>
    <w:p>
      <w:pPr>
        <w:pStyle w:val="SignatureBlock"/>
        <w:spacing w:lineRule="auto" w:line="240"/>
        <w:ind w:start="0" w:end="0"/>
        <w:rPr>
          <w:rFonts w:ascii="Times New Roman" w:hAnsi="Times New Roman" w:cs="Times New Roman"/>
          <w:i/>
          <w:i/>
        </w:rPr>
      </w:pPr>
      <w:r>
        <w:rPr>
          <w:rFonts w:cs="Times New Roman" w:ascii="Times New Roman" w:hAnsi="Times New Roman"/>
          <w:i/>
        </w:rPr>
      </w:r>
    </w:p>
    <w:p>
      <w:pPr>
        <w:pStyle w:val="SignatureBlock"/>
        <w:spacing w:lineRule="auto" w:line="240"/>
        <w:ind w:start="0" w:end="0"/>
        <w:rPr>
          <w:rFonts w:ascii="Times New Roman" w:hAnsi="Times New Roman" w:cs="Times New Roman"/>
        </w:rPr>
      </w:pPr>
      <w:r>
        <w:rPr>
          <w:rFonts w:cs="Times New Roman" w:ascii="Times New Roman" w:hAnsi="Times New Roman"/>
        </w:rPr>
      </w:r>
    </w:p>
    <w:p>
      <w:pPr>
        <w:pStyle w:val="SignatureBlock"/>
        <w:spacing w:lineRule="auto" w:line="240"/>
        <w:ind w:start="0" w:end="0"/>
        <w:rPr>
          <w:rFonts w:ascii="Times New Roman" w:hAnsi="Times New Roman" w:cs="Times New Roman"/>
        </w:rPr>
      </w:pPr>
      <w:r>
        <w:rPr>
          <w:rFonts w:cs="Times New Roman" w:ascii="Times New Roman" w:hAnsi="Times New Roman"/>
        </w:rPr>
        <w:t>April 19, 2001</w:t>
      </w:r>
    </w:p>
    <w:p>
      <w:pPr>
        <w:pStyle w:val="BodyTextStyle"/>
        <w:ind w:hanging="0" w:end="0"/>
        <w:rPr>
          <w:rFonts w:ascii="Times New Roman" w:hAnsi="Times New Roman" w:cs="Times New Roman"/>
        </w:rPr>
      </w:pPr>
      <w:r>
        <w:rPr>
          <w:rFonts w:cs="Times New Roman"/>
        </w:rPr>
      </w:r>
    </w:p>
    <w:p>
      <w:pPr>
        <w:pStyle w:val="BodyTextStyle"/>
        <w:ind w:hanging="0" w:end="0"/>
        <w:rPr/>
      </w:pPr>
      <w:r>
        <w:rPr/>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432"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lliard">
    <w:altName w:val="Times New Roman"/>
    <w:charset w:val="00" w:characterSet="windows-1252"/>
    <w:family w:val="roman"/>
    <w:pitch w:val="variable"/>
  </w:font>
  <w:font w:name="Webdings">
    <w:charset w:val="0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53035" cy="165100"/>
              <wp:effectExtent l="0" t="0" r="0" b="0"/>
              <wp:wrapSquare wrapText="bothSides"/>
              <wp:docPr id="2" name="Frame1"/>
              <a:graphic xmlns:a="http://schemas.openxmlformats.org/drawingml/2006/main">
                <a:graphicData uri="http://schemas.microsoft.com/office/word/2010/wordprocessingShape">
                  <wps:wsp>
                    <wps:cNvSpPr txBox="1"/>
                    <wps:spPr>
                      <a:xfrm>
                        <a:off x="0" y="0"/>
                        <a:ext cx="153035" cy="16510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p>
    <w:pPr>
      <w:pStyle w:val="Footer"/>
      <w:rPr/>
    </w:pPr>
    <w:r>
      <w:rPr>
        <w:rFonts w:cs="Arial" w:ascii="Arial" w:hAnsi="Arial"/>
        <w:sz w:val="12"/>
      </w:rPr>
      <w:fldChar w:fldCharType="begin"/>
    </w:r>
    <w:r>
      <w:rPr>
        <w:sz w:val="12"/>
        <w:rFonts w:cs="Arial" w:ascii="Arial" w:hAnsi="Arial"/>
      </w:rPr>
      <w:instrText xml:space="preserve"> DOCPROPERTY "DOCSNumber"</w:instrText>
    </w:r>
    <w:r>
      <w:rPr>
        <w:sz w:val="12"/>
        <w:rFonts w:cs="Arial" w:ascii="Arial" w:hAnsi="Arial"/>
      </w:rPr>
      <w:fldChar w:fldCharType="separate"/>
    </w:r>
    <w:r>
      <w:rPr>
        <w:sz w:val="12"/>
        <w:rFonts w:cs="Arial" w:ascii="Arial" w:hAnsi="Arial"/>
      </w:rPr>
      <w:t>1272204</w:t>
    </w:r>
    <w:r>
      <w:rPr>
        <w:sz w:val="12"/>
        <w:rFonts w:cs="Arial" w:ascii="Arial" w:hAnsi="Arial"/>
      </w:rPr>
      <w:fldChar w:fldCharType="end"/>
    </w:r>
    <w:r>
      <w:rPr>
        <w:rFonts w:eastAsia="Arial" w:cs="Arial" w:ascii="Arial" w:hAnsi="Arial"/>
        <w:sz w:val="12"/>
      </w:rPr>
      <w:t xml:space="preserve"> </w:t>
    </w:r>
    <w:r>
      <w:rPr>
        <w:rFonts w:cs="Arial" w:ascii="Arial" w:hAnsi="Arial"/>
        <w:sz w:val="12"/>
      </w:rPr>
      <w:t>v</w:t>
    </w:r>
    <w:r>
      <w:rPr>
        <w:rFonts w:cs="Arial" w:ascii="Arial" w:hAnsi="Arial"/>
        <w:sz w:val="12"/>
      </w:rPr>
      <w:fldChar w:fldCharType="begin"/>
    </w:r>
    <w:r>
      <w:rPr>
        <w:sz w:val="12"/>
        <w:rFonts w:cs="Arial" w:ascii="Arial" w:hAnsi="Arial"/>
      </w:rPr>
      <w:instrText xml:space="preserve"> DOCPROPERTY "DOCSDocVer"</w:instrText>
    </w:r>
    <w:r>
      <w:rPr>
        <w:sz w:val="12"/>
        <w:rFonts w:cs="Arial" w:ascii="Arial" w:hAnsi="Arial"/>
      </w:rPr>
      <w:fldChar w:fldCharType="separate"/>
    </w:r>
    <w:r>
      <w:rPr>
        <w:sz w:val="12"/>
        <w:rFonts w:cs="Arial" w:ascii="Arial" w:hAnsi="Arial"/>
      </w:rPr>
      <w:t>3</w:t>
    </w:r>
    <w:r>
      <w:rPr>
        <w:sz w:val="12"/>
        <w:rFonts w:cs="Arial" w:ascii="Arial" w:hAnsi="Arial"/>
      </w:rPr>
      <w:fldChar w:fldCharType="end"/>
    </w:r>
    <w:r>
      <w:rPr>
        <w:rFonts w:cs="Arial" w:ascii="Arial" w:hAnsi="Arial"/>
        <w:sz w:val="12"/>
      </w:rPr>
      <w:t xml:space="preserve">; </w:t>
    </w:r>
    <w:r>
      <w:rPr>
        <w:rFonts w:cs="Arial" w:ascii="Arial" w:hAnsi="Arial"/>
        <w:sz w:val="12"/>
      </w:rPr>
      <w:fldChar w:fldCharType="begin"/>
    </w:r>
    <w:r>
      <w:rPr>
        <w:sz w:val="12"/>
        <w:rFonts w:cs="Arial" w:ascii="Arial" w:hAnsi="Arial"/>
      </w:rPr>
      <w:instrText xml:space="preserve"> DOCPROPERTY "DOCS83File"</w:instrText>
    </w:r>
    <w:r>
      <w:rPr>
        <w:sz w:val="12"/>
        <w:rFonts w:cs="Arial" w:ascii="Arial" w:hAnsi="Arial"/>
      </w:rPr>
      <w:fldChar w:fldCharType="separate"/>
    </w:r>
    <w:r>
      <w:rPr>
        <w:sz w:val="12"/>
        <w:rFonts w:cs="Arial" w:ascii="Arial" w:hAnsi="Arial"/>
      </w:rPr>
      <w:t>R9N003!.DOC</w:t>
    </w:r>
    <w:r>
      <w:rPr>
        <w:sz w:val="12"/>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Fonts w:cs="Arial" w:ascii="Arial" w:hAnsi="Arial"/>
        <w:sz w:val="12"/>
      </w:rPr>
      <w:fldChar w:fldCharType="begin"/>
    </w:r>
    <w:r>
      <w:rPr>
        <w:sz w:val="12"/>
        <w:rFonts w:cs="Arial" w:ascii="Arial" w:hAnsi="Arial"/>
      </w:rPr>
      <w:instrText xml:space="preserve"> DOCPROPERTY "DOCSNumber"</w:instrText>
    </w:r>
    <w:r>
      <w:rPr>
        <w:sz w:val="12"/>
        <w:rFonts w:cs="Arial" w:ascii="Arial" w:hAnsi="Arial"/>
      </w:rPr>
      <w:fldChar w:fldCharType="separate"/>
    </w:r>
    <w:r>
      <w:rPr>
        <w:sz w:val="12"/>
        <w:rFonts w:cs="Arial" w:ascii="Arial" w:hAnsi="Arial"/>
      </w:rPr>
      <w:t>1272204</w:t>
    </w:r>
    <w:r>
      <w:rPr>
        <w:sz w:val="12"/>
        <w:rFonts w:cs="Arial" w:ascii="Arial" w:hAnsi="Arial"/>
      </w:rPr>
      <w:fldChar w:fldCharType="end"/>
    </w:r>
    <w:r>
      <w:rPr>
        <w:rFonts w:eastAsia="Arial" w:cs="Arial" w:ascii="Arial" w:hAnsi="Arial"/>
        <w:sz w:val="12"/>
      </w:rPr>
      <w:t xml:space="preserve"> </w:t>
    </w:r>
    <w:r>
      <w:rPr>
        <w:rFonts w:cs="Arial" w:ascii="Arial" w:hAnsi="Arial"/>
        <w:sz w:val="12"/>
      </w:rPr>
      <w:t>v</w:t>
    </w:r>
    <w:r>
      <w:rPr>
        <w:rFonts w:cs="Arial" w:ascii="Arial" w:hAnsi="Arial"/>
        <w:sz w:val="12"/>
      </w:rPr>
      <w:fldChar w:fldCharType="begin"/>
    </w:r>
    <w:r>
      <w:rPr>
        <w:sz w:val="12"/>
        <w:rFonts w:cs="Arial" w:ascii="Arial" w:hAnsi="Arial"/>
      </w:rPr>
      <w:instrText xml:space="preserve"> DOCPROPERTY "DOCSDocVer"</w:instrText>
    </w:r>
    <w:r>
      <w:rPr>
        <w:sz w:val="12"/>
        <w:rFonts w:cs="Arial" w:ascii="Arial" w:hAnsi="Arial"/>
      </w:rPr>
      <w:fldChar w:fldCharType="separate"/>
    </w:r>
    <w:r>
      <w:rPr>
        <w:sz w:val="12"/>
        <w:rFonts w:cs="Arial" w:ascii="Arial" w:hAnsi="Arial"/>
      </w:rPr>
      <w:t>3</w:t>
    </w:r>
    <w:r>
      <w:rPr>
        <w:sz w:val="12"/>
        <w:rFonts w:cs="Arial" w:ascii="Arial" w:hAnsi="Arial"/>
      </w:rPr>
      <w:fldChar w:fldCharType="end"/>
    </w:r>
    <w:r>
      <w:rPr>
        <w:rFonts w:cs="Arial" w:ascii="Arial" w:hAnsi="Arial"/>
        <w:sz w:val="12"/>
      </w:rPr>
      <w:t xml:space="preserve">; </w:t>
    </w:r>
    <w:r>
      <w:rPr>
        <w:rFonts w:cs="Arial" w:ascii="Arial" w:hAnsi="Arial"/>
        <w:sz w:val="12"/>
      </w:rPr>
      <w:fldChar w:fldCharType="begin"/>
    </w:r>
    <w:r>
      <w:rPr>
        <w:sz w:val="12"/>
        <w:rFonts w:cs="Arial" w:ascii="Arial" w:hAnsi="Arial"/>
      </w:rPr>
      <w:instrText xml:space="preserve"> DOCPROPERTY "DOCS83File"</w:instrText>
    </w:r>
    <w:r>
      <w:rPr>
        <w:sz w:val="12"/>
        <w:rFonts w:cs="Arial" w:ascii="Arial" w:hAnsi="Arial"/>
      </w:rPr>
      <w:fldChar w:fldCharType="separate"/>
    </w:r>
    <w:r>
      <w:rPr>
        <w:sz w:val="12"/>
        <w:rFonts w:cs="Arial" w:ascii="Arial" w:hAnsi="Arial"/>
      </w:rPr>
      <w:t>R9N003!.DOC</w:t>
    </w:r>
    <w:r>
      <w:rPr>
        <w:sz w:val="12"/>
        <w:rFonts w:cs="Arial" w:ascii="Arial" w:hAnsi="Arial"/>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rPr/>
      </w:pPr>
      <w:r>
        <w:rPr>
          <w:rStyle w:val="FootnoteCharacters"/>
        </w:rPr>
        <w:footnoteRef/>
      </w:r>
      <w:r>
        <w:rPr/>
        <w:t xml:space="preserve">  </w:t>
      </w:r>
      <w:r>
        <w:rPr>
          <w:i/>
        </w:rPr>
        <w:t>Promoting Wholesale Competition Though Open Access Non-Discriminatory Transmission Services by Public Utilities and Transmitting Utilities</w:t>
      </w:r>
      <w:r>
        <w:rPr/>
        <w:t xml:space="preserve">, Order No. 888 [1991-96 Reg. Preambles] F.E.R.C. Stats. &amp; Regs. § 31,036 (1996); </w:t>
      </w:r>
      <w:r>
        <w:rPr>
          <w:i/>
        </w:rPr>
        <w:t>Promoting Wholesale Competition Though Open Access Non-Discriminatory Transmission Services by Public Utilities and Transmitting Utilities, Order No. 888-A</w:t>
      </w:r>
      <w:r>
        <w:rPr/>
        <w:t xml:space="preserve"> [Reg. Preambles] III F.E.R.C. Stats. &amp; Regs. ¶31,048 (1997); </w:t>
      </w:r>
      <w:r>
        <w:rPr>
          <w:i/>
        </w:rPr>
        <w:t>Promoting Wholesale Competition Though Open Access Non-Discriminatory Transmission Services by Public Utilities and Transmitting Utilities</w:t>
      </w:r>
      <w:r>
        <w:rPr/>
        <w:t>, Order No. 888-B, 81 F.E.R.C. ¶61,248 (1997).</w:t>
      </w:r>
    </w:p>
  </w:footnote>
  <w:footnote w:id="3">
    <w:p>
      <w:pPr>
        <w:pStyle w:val="FootnoteText"/>
        <w:spacing w:before="0" w:after="120"/>
        <w:rPr/>
      </w:pPr>
      <w:r>
        <w:rPr>
          <w:rStyle w:val="FootnoteCharacters"/>
        </w:rPr>
        <w:footnoteRef/>
      </w:r>
      <w:r>
        <w:rPr/>
        <w:t xml:space="preserve"> </w:t>
      </w:r>
      <w:r>
        <w:rPr/>
        <w:tab/>
      </w:r>
      <w:r>
        <w:rPr>
          <w:i/>
        </w:rPr>
        <w:t>Regional Transmission Organizations</w:t>
      </w:r>
      <w:r>
        <w:rPr/>
        <w:t>, FERC Stats &amp; Regs. ¶ 31,089 (1999).</w:t>
      </w:r>
    </w:p>
  </w:footnote>
  <w:footnote w:id="4">
    <w:p>
      <w:pPr>
        <w:pStyle w:val="FootnoteText"/>
        <w:spacing w:before="0" w:after="120"/>
        <w:rPr/>
      </w:pPr>
      <w:r>
        <w:rPr>
          <w:rStyle w:val="FootnoteCharacters"/>
        </w:rPr>
        <w:footnoteRef/>
      </w:r>
      <w:r>
        <w:rPr/>
        <w:t xml:space="preserve"> </w:t>
      </w:r>
      <w:r>
        <w:rPr/>
        <w:tab/>
        <w:t>16 U.S.C. §824(d).</w:t>
      </w:r>
    </w:p>
  </w:footnote>
  <w:footnote w:id="5">
    <w:p>
      <w:pPr>
        <w:pStyle w:val="FootnoteText"/>
        <w:spacing w:before="0" w:after="120"/>
        <w:rPr/>
      </w:pPr>
      <w:r>
        <w:rPr>
          <w:rStyle w:val="FootnoteCharacters"/>
        </w:rPr>
        <w:footnoteRef/>
      </w:r>
      <w:r>
        <w:rPr/>
        <w:t xml:space="preserve"> </w:t>
      </w:r>
      <w:r>
        <w:rPr/>
        <w:tab/>
      </w:r>
      <w:r>
        <w:rPr>
          <w:highlight w:val="yellow"/>
        </w:rPr>
        <w:t>Need a cite supporting this figure.</w:t>
      </w:r>
    </w:p>
  </w:footnote>
  <w:footnote w:id="6">
    <w:p>
      <w:pPr>
        <w:pStyle w:val="FootnoteText"/>
        <w:spacing w:before="0" w:after="120"/>
        <w:rPr/>
      </w:pPr>
      <w:r>
        <w:rPr>
          <w:rStyle w:val="FootnoteCharacters"/>
        </w:rPr>
        <w:footnoteRef/>
      </w:r>
      <w:r>
        <w:rPr/>
        <w:t xml:space="preserve"> </w:t>
      </w:r>
      <w:r>
        <w:rPr/>
        <w:tab/>
        <w:t xml:space="preserve">These and other examples were discussed by EPSA and certain power industry stakeholders in connection with a petition for proposed rulemaking in FERC Docket Nos. RM95-8-000 and RM98-5-000.  Although FERC took no action on the petition, it referenced the petition in  **********[NEED CASE CITES] </w:t>
      </w:r>
    </w:p>
  </w:footnote>
  <w:footnote w:id="7">
    <w:p>
      <w:pPr>
        <w:pStyle w:val="FootnoteText"/>
        <w:spacing w:before="0" w:after="120"/>
        <w:rPr/>
      </w:pPr>
      <w:r>
        <w:rPr>
          <w:rStyle w:val="FootnoteCharacters"/>
        </w:rPr>
        <w:footnoteRef/>
      </w:r>
      <w:r>
        <w:rPr/>
        <w:t xml:space="preserve"> </w:t>
      </w:r>
      <w:r>
        <w:rPr/>
        <w:tab/>
      </w:r>
      <w:r>
        <w:rPr>
          <w:i/>
        </w:rPr>
        <w:t>Open Access Same-Time Information System and Standards of Conduct</w:t>
      </w:r>
      <w:r>
        <w:rPr/>
        <w:t>, Order No. 889, F.E.R.C. Stats. &amp; Regs., Regulations Preambles, ¶ 31,036 (1996).</w:t>
      </w:r>
    </w:p>
  </w:footnote>
  <w:footnote w:id="8">
    <w:p>
      <w:pPr>
        <w:pStyle w:val="FootnoteText"/>
        <w:spacing w:before="0" w:after="120"/>
        <w:rPr/>
      </w:pPr>
      <w:r>
        <w:rPr>
          <w:rStyle w:val="FootnoteCharacters"/>
        </w:rPr>
        <w:footnoteRef/>
      </w:r>
      <w:r>
        <w:rPr/>
        <w:t xml:space="preserve"> </w:t>
      </w:r>
      <w:r>
        <w:rPr/>
        <w:tab/>
        <w:t>FPA § 206, 16 U.S.C. § 824(e).</w:t>
      </w:r>
    </w:p>
  </w:footnote>
  <w:footnote w:id="9">
    <w:p>
      <w:pPr>
        <w:pStyle w:val="FootnoteText"/>
        <w:spacing w:before="0" w:after="120"/>
        <w:rPr/>
      </w:pPr>
      <w:r>
        <w:rPr>
          <w:rStyle w:val="FootnoteCharacters"/>
        </w:rPr>
        <w:footnoteRef/>
      </w:r>
      <w:r>
        <w:rPr/>
        <w:t xml:space="preserve"> </w:t>
      </w:r>
      <w:r>
        <w:rPr/>
        <w:tab/>
        <w:t>18 C.F.R. § 35.34(k)(1)(i) (2001).</w:t>
      </w:r>
    </w:p>
  </w:footnote>
  <w:footnote w:id="10">
    <w:p>
      <w:pPr>
        <w:pStyle w:val="FootnoteText"/>
        <w:spacing w:before="0" w:after="120"/>
        <w:rPr/>
      </w:pPr>
      <w:r>
        <w:rPr>
          <w:rStyle w:val="FootnoteCharacters"/>
        </w:rPr>
        <w:footnoteRef/>
      </w:r>
      <w:r>
        <w:rPr/>
        <w:t xml:space="preserve"> </w:t>
      </w:r>
      <w:r>
        <w:rPr/>
        <w:tab/>
        <w:t>Order No. 2000 at 31,375.</w:t>
      </w:r>
    </w:p>
  </w:footnote>
  <w:footnote w:id="11">
    <w:p>
      <w:pPr>
        <w:pStyle w:val="FootnoteText"/>
        <w:spacing w:before="0" w:after="120"/>
        <w:rPr/>
      </w:pPr>
      <w:r>
        <w:rPr>
          <w:rStyle w:val="FootnoteCharacters"/>
        </w:rPr>
        <w:footnoteRef/>
      </w:r>
      <w:r>
        <w:rPr/>
        <w:t xml:space="preserve"> </w:t>
      </w:r>
      <w:r>
        <w:rPr/>
        <w:tab/>
        <w:t xml:space="preserve">FERC avoided addressing its determination in the Orders under review here that it “lacked” jurisdiction over transmission bundled with retail sales and thus could not, through rulemaking, indirectly require the unbundling of retail energy sales in order to establish jurisdiction over all interstate transmission.  Rather, FERC stated that its requirement would not mandate the unbundling of retail sales, and that “the requirement does not interfere in any way with whether retail open access and retail choice are provided, or with the pricing of retail bundled power sales[.]”  FERC failed to discuss the fact that by not requiring unbundling, but requiring </w:t>
      </w:r>
      <w:r>
        <w:rPr>
          <w:i/>
        </w:rPr>
        <w:t xml:space="preserve">all </w:t>
      </w:r>
      <w:r>
        <w:rPr/>
        <w:t xml:space="preserve">transmission to be scheduled pursuant to the RTO Open Access Transmission Tariff, it would—by design—exercise jurisdiction over transmission bundled with retail sales.  </w:t>
      </w:r>
      <w:r>
        <w:rPr>
          <w:i/>
        </w:rPr>
        <w:t>See</w:t>
      </w:r>
      <w:r>
        <w:rPr/>
        <w:t xml:space="preserve"> Order No. 2000 at [CITE]***</w:t>
      </w:r>
    </w:p>
  </w:footnote>
  <w:footnote w:id="12">
    <w:p>
      <w:pPr>
        <w:pStyle w:val="FootnoteText"/>
        <w:spacing w:before="0" w:after="120"/>
        <w:rPr/>
      </w:pPr>
      <w:r>
        <w:rPr>
          <w:rStyle w:val="FootnoteCharacters"/>
        </w:rPr>
        <w:footnoteRef/>
      </w:r>
      <w:r>
        <w:rPr/>
        <w:t xml:space="preserve"> </w:t>
      </w:r>
      <w:r>
        <w:rPr/>
        <w:tab/>
      </w:r>
      <w:r>
        <w:rPr>
          <w:i/>
        </w:rPr>
        <w:t>Southern Company Services, Inc.</w:t>
      </w:r>
      <w:r>
        <w:rPr/>
        <w:t>, 94 FERC at ***.</w:t>
      </w:r>
    </w:p>
  </w:footnote>
  <w:footnote w:id="13">
    <w:p>
      <w:pPr>
        <w:pStyle w:val="FootnoteText"/>
        <w:spacing w:before="0" w:after="120"/>
        <w:rPr/>
      </w:pPr>
      <w:r>
        <w:rPr>
          <w:rStyle w:val="FootnoteCharacters"/>
        </w:rPr>
        <w:footnoteRef/>
      </w:r>
      <w:r>
        <w:rPr/>
        <w:t xml:space="preserve"> </w:t>
      </w:r>
      <w:r>
        <w:rPr/>
        <w:tab/>
        <w:t>[CITE]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color w:val="000000"/>
        <w:sz w:val="28"/>
        <w:u w:val="single"/>
      </w:rPr>
    </w:pPr>
    <w:r>
      <w:rPr>
        <w:b/>
        <w:color w:val="000000"/>
        <w:sz w:val="28"/>
        <w:u w:val="single"/>
      </w:rPr>
      <w:t>DRAFT</w:t>
    </w:r>
  </w:p>
  <w:p>
    <w:pPr>
      <w:pStyle w:val="Header"/>
      <w:jc w:val="end"/>
      <w:rPr>
        <w:b/>
        <w:color w:val="000000"/>
        <w:sz w:val="28"/>
      </w:rPr>
    </w:pPr>
    <w:r>
      <w:rPr>
        <w:b/>
        <w:color w:val="000000"/>
        <w:sz w:val="28"/>
      </w:rPr>
      <w:t>4/10/2001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1080"/>
        </w:tabs>
        <w:ind w:start="1080" w:hanging="1080"/>
      </w:pPr>
      <w:rPr>
        <w:u w:val="none"/>
      </w:rPr>
    </w:lvl>
    <w:lvl w:ilvl="1">
      <w:start w:val="1"/>
      <w:pStyle w:val="Heading2"/>
      <w:numFmt w:val="upperLetter"/>
      <w:lvlText w:val="%2."/>
      <w:lvlJc w:val="end"/>
      <w:pPr>
        <w:tabs>
          <w:tab w:val="num" w:pos="1800"/>
        </w:tabs>
        <w:ind w:start="1800" w:hanging="432"/>
      </w:pPr>
      <w:rPr>
        <w:u w:val="none"/>
      </w:rPr>
    </w:lvl>
    <w:lvl w:ilvl="2">
      <w:start w:val="1"/>
      <w:pStyle w:val="Heading3"/>
      <w:numFmt w:val="decimal"/>
      <w:lvlText w:val="%3."/>
      <w:lvlJc w:val="end"/>
      <w:pPr>
        <w:tabs>
          <w:tab w:val="num" w:pos="2520"/>
        </w:tabs>
        <w:ind w:start="2520" w:hanging="504"/>
      </w:pPr>
      <w:rPr>
        <w:u w:val="none"/>
      </w:rPr>
    </w:lvl>
    <w:lvl w:ilvl="3">
      <w:start w:val="1"/>
      <w:pStyle w:val="Heading4"/>
      <w:numFmt w:val="lowerLetter"/>
      <w:lvlText w:val="%4."/>
      <w:lvlJc w:val="end"/>
      <w:pPr>
        <w:tabs>
          <w:tab w:val="num" w:pos="3240"/>
        </w:tabs>
        <w:ind w:start="3240" w:hanging="504"/>
      </w:pPr>
      <w:rPr>
        <w:u w:val="none"/>
      </w:rPr>
    </w:lvl>
    <w:lvl w:ilvl="4">
      <w:start w:val="1"/>
      <w:pStyle w:val="Heading5"/>
      <w:numFmt w:val="lowerRoman"/>
      <w:lvlText w:val="%5."/>
      <w:lvlJc w:val="end"/>
      <w:pPr>
        <w:tabs>
          <w:tab w:val="num" w:pos="3960"/>
        </w:tabs>
        <w:ind w:start="3960" w:hanging="576"/>
      </w:pPr>
      <w:rPr>
        <w:u w:val="none"/>
      </w:rPr>
    </w:lvl>
    <w:lvl w:ilvl="5">
      <w:start w:val="1"/>
      <w:pStyle w:val="Heading6"/>
      <w:numFmt w:val="decimal"/>
      <w:suff w:val="nothing"/>
      <w:lvlText w:val="%6.  "/>
      <w:lvlJc w:val="start"/>
      <w:pPr>
        <w:tabs>
          <w:tab w:val="num" w:pos="0"/>
        </w:tabs>
        <w:ind w:start="0" w:firstLine="1080"/>
      </w:pPr>
      <w:rPr>
        <w:u w:val="none"/>
      </w:rPr>
    </w:lvl>
    <w:lvl w:ilvl="6">
      <w:start w:val="1"/>
      <w:pStyle w:val="Heading7"/>
      <w:numFmt w:val="decimal"/>
      <w:suff w:val="nothing"/>
      <w:lvlText w:val="%7.  "/>
      <w:lvlJc w:val="start"/>
      <w:pPr>
        <w:tabs>
          <w:tab w:val="num" w:pos="0"/>
        </w:tabs>
        <w:ind w:start="0" w:firstLine="1080"/>
      </w:pPr>
      <w:rPr>
        <w:u w:val="none"/>
      </w:rPr>
    </w:lvl>
    <w:lvl w:ilvl="7">
      <w:start w:val="1"/>
      <w:pStyle w:val="Heading8"/>
      <w:numFmt w:val="lowerLetter"/>
      <w:suff w:val="nothing"/>
      <w:lvlText w:val="%8.  "/>
      <w:lvlJc w:val="start"/>
      <w:pPr>
        <w:tabs>
          <w:tab w:val="num" w:pos="0"/>
        </w:tabs>
        <w:ind w:start="0" w:firstLine="1800"/>
      </w:pPr>
      <w:rPr>
        <w:u w:val="none"/>
      </w:rPr>
    </w:lvl>
    <w:lvl w:ilvl="8">
      <w:start w:val="1"/>
      <w:pStyle w:val="Heading9"/>
      <w:numFmt w:val="lowerLetter"/>
      <w:suff w:val="nothing"/>
      <w:lvlText w:val="%9.  "/>
      <w:lvlJc w:val="start"/>
      <w:pPr>
        <w:tabs>
          <w:tab w:val="num" w:pos="0"/>
        </w:tabs>
        <w:ind w:start="0" w:firstLine="1800"/>
      </w:pPr>
      <w:rPr>
        <w:u w:val="none"/>
      </w:rPr>
    </w:lvl>
  </w:abstractNum>
  <w:abstractNum w:abstractNumId="2">
    <w:lvl w:ilvl="0">
      <w:start w:val="1"/>
      <w:numFmt w:val="bullet"/>
      <w:lvlText w:val=""/>
      <w:lvlJc w:val="start"/>
      <w:pPr>
        <w:tabs>
          <w:tab w:val="num" w:pos="2160"/>
        </w:tabs>
        <w:ind w:start="2160" w:hanging="576"/>
      </w:pPr>
      <w:rPr>
        <w:rFonts w:ascii="Symbol" w:hAnsi="Symbol" w:cs="Symbol" w:hint="default"/>
      </w:rPr>
    </w:lvl>
  </w:abstractNum>
  <w:abstractNum w:abstractNumId="3">
    <w:lvl w:ilvl="0">
      <w:start w:val="1"/>
      <w:numFmt w:val="bullet"/>
      <w:lvlText w:val=""/>
      <w:lvlJc w:val="start"/>
      <w:pPr>
        <w:tabs>
          <w:tab w:val="num" w:pos="2736"/>
        </w:tabs>
        <w:ind w:start="2736" w:hanging="576"/>
      </w:pPr>
      <w:rPr>
        <w:rFonts w:ascii="Symbol" w:hAnsi="Symbol" w:cs="Symbol" w:hint="default"/>
        <w:color w:val="auto"/>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60"/>
    </w:pPr>
    <w:rPr>
      <w:rFonts w:ascii="Galliard;Times New Roman" w:hAnsi="Galliard;Times New Roman" w:eastAsia="Times New Roman" w:cs="Galliard;Times New Roman"/>
      <w:color w:val="auto"/>
      <w:sz w:val="24"/>
      <w:szCs w:val="20"/>
      <w:lang w:val="en-US" w:eastAsia="zh-CN" w:bidi="hi-IN"/>
    </w:rPr>
  </w:style>
  <w:style w:type="paragraph" w:styleId="Heading1">
    <w:name w:val="heading 1"/>
    <w:basedOn w:val="Normal"/>
    <w:next w:val="BodyText"/>
    <w:qFormat/>
    <w:pPr>
      <w:numPr>
        <w:ilvl w:val="0"/>
        <w:numId w:val="1"/>
      </w:numPr>
      <w:spacing w:before="260" w:after="0"/>
      <w:outlineLvl w:val="0"/>
    </w:pPr>
    <w:rPr>
      <w:kern w:val="2"/>
    </w:rPr>
  </w:style>
  <w:style w:type="paragraph" w:styleId="Heading2">
    <w:name w:val="heading 2"/>
    <w:basedOn w:val="Normal"/>
    <w:next w:val="BodyText"/>
    <w:qFormat/>
    <w:pPr>
      <w:numPr>
        <w:ilvl w:val="1"/>
        <w:numId w:val="1"/>
      </w:numPr>
      <w:spacing w:before="260" w:after="0"/>
      <w:outlineLvl w:val="1"/>
    </w:pPr>
    <w:rPr/>
  </w:style>
  <w:style w:type="paragraph" w:styleId="Heading3">
    <w:name w:val="heading 3"/>
    <w:basedOn w:val="Normal"/>
    <w:next w:val="BodyText"/>
    <w:qFormat/>
    <w:pPr>
      <w:numPr>
        <w:ilvl w:val="2"/>
        <w:numId w:val="1"/>
      </w:numPr>
      <w:spacing w:before="260" w:after="0"/>
      <w:outlineLvl w:val="2"/>
    </w:pPr>
    <w:rPr/>
  </w:style>
  <w:style w:type="paragraph" w:styleId="Heading4">
    <w:name w:val="heading 4"/>
    <w:basedOn w:val="Normal"/>
    <w:next w:val="BodyText"/>
    <w:qFormat/>
    <w:pPr>
      <w:numPr>
        <w:ilvl w:val="3"/>
        <w:numId w:val="1"/>
      </w:numPr>
      <w:spacing w:before="260" w:after="0"/>
      <w:outlineLvl w:val="3"/>
    </w:pPr>
    <w:rPr/>
  </w:style>
  <w:style w:type="paragraph" w:styleId="Heading5">
    <w:name w:val="heading 5"/>
    <w:basedOn w:val="Normal"/>
    <w:next w:val="BodyText"/>
    <w:qFormat/>
    <w:pPr>
      <w:numPr>
        <w:ilvl w:val="4"/>
        <w:numId w:val="1"/>
      </w:numPr>
      <w:spacing w:before="260" w:after="0"/>
      <w:outlineLvl w:val="4"/>
    </w:pPr>
    <w:rPr/>
  </w:style>
  <w:style w:type="paragraph" w:styleId="Heading6">
    <w:name w:val="heading 6"/>
    <w:basedOn w:val="Normal"/>
    <w:next w:val="BodyText"/>
    <w:qFormat/>
    <w:pPr>
      <w:numPr>
        <w:ilvl w:val="5"/>
        <w:numId w:val="1"/>
      </w:numPr>
      <w:spacing w:before="260" w:after="0"/>
      <w:outlineLvl w:val="5"/>
    </w:pPr>
    <w:rPr/>
  </w:style>
  <w:style w:type="paragraph" w:styleId="Heading7">
    <w:name w:val="heading 7"/>
    <w:basedOn w:val="Normal"/>
    <w:next w:val="BodyText"/>
    <w:qFormat/>
    <w:pPr>
      <w:numPr>
        <w:ilvl w:val="6"/>
        <w:numId w:val="1"/>
      </w:numPr>
      <w:spacing w:lineRule="exact" w:line="520"/>
      <w:outlineLvl w:val="6"/>
    </w:pPr>
    <w:rPr/>
  </w:style>
  <w:style w:type="paragraph" w:styleId="Heading8">
    <w:name w:val="heading 8"/>
    <w:basedOn w:val="Normal"/>
    <w:next w:val="BodyText"/>
    <w:qFormat/>
    <w:pPr>
      <w:numPr>
        <w:ilvl w:val="7"/>
        <w:numId w:val="1"/>
      </w:numPr>
      <w:spacing w:before="260" w:after="0"/>
      <w:outlineLvl w:val="7"/>
    </w:pPr>
    <w:rPr/>
  </w:style>
  <w:style w:type="paragraph" w:styleId="Heading9">
    <w:name w:val="heading 9"/>
    <w:basedOn w:val="Normal"/>
    <w:next w:val="BodyText"/>
    <w:qFormat/>
    <w:pPr>
      <w:numPr>
        <w:ilvl w:val="8"/>
        <w:numId w:val="1"/>
      </w:numPr>
      <w:spacing w:lineRule="exact" w:line="520"/>
      <w:outlineLvl w:val="8"/>
    </w:pPr>
    <w:rPr/>
  </w:style>
  <w:style w:type="character" w:styleId="WW8Num1z0">
    <w:name w:val="WW8Num1z0"/>
    <w:qFormat/>
    <w:rPr>
      <w:rFonts w:ascii="Webdings" w:hAnsi="Webdings" w:cs="Webdings"/>
    </w:rPr>
  </w:style>
  <w:style w:type="character" w:styleId="WW8Num3z0">
    <w:name w:val="WW8Num3z0"/>
    <w:qFormat/>
    <w:rPr>
      <w:rFonts w:ascii="Symbol" w:hAnsi="Symbol" w:cs="Symbol"/>
    </w:rPr>
  </w:style>
  <w:style w:type="character" w:styleId="WW8Num4z0">
    <w:name w:val="WW8Num4z0"/>
    <w:qFormat/>
    <w:rPr>
      <w:rFonts w:ascii="Symbol" w:hAnsi="Symbol" w:cs="Symbol"/>
      <w:color w:val="auto"/>
    </w:rPr>
  </w:style>
  <w:style w:type="character" w:styleId="WW8Num5z0">
    <w:name w:val="WW8Num5z0"/>
    <w:qFormat/>
    <w:rPr>
      <w:u w:val="none"/>
    </w:rPr>
  </w:style>
  <w:style w:type="character" w:styleId="DefaultParagraphFont">
    <w:name w:val="Default Paragraph Font"/>
    <w:qFormat/>
    <w:rPr/>
  </w:style>
  <w:style w:type="character" w:styleId="Emphasis">
    <w:name w:val="Emphasis"/>
    <w:basedOn w:val="DefaultParagraphFont"/>
    <w:qFormat/>
    <w:rPr>
      <w:i/>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Strong">
    <w:name w:val="Strong"/>
    <w:basedOn w:val="DefaultParagraphFont"/>
    <w:qFormat/>
    <w:rPr>
      <w:b/>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exact" w:line="260"/>
    </w:pPr>
    <w:rPr/>
  </w:style>
  <w:style w:type="paragraph" w:styleId="BlockQuote">
    <w:name w:val="Block Quote"/>
    <w:basedOn w:val="Normal"/>
    <w:qFormat/>
    <w:pPr>
      <w:spacing w:before="260" w:after="0"/>
      <w:ind w:hanging="0" w:start="1080" w:end="1080"/>
    </w:pPr>
    <w:rPr/>
  </w:style>
  <w:style w:type="paragraph" w:styleId="BodySingle">
    <w:name w:val="Body Single"/>
    <w:basedOn w:val="Normal"/>
    <w:qFormat/>
    <w:pPr>
      <w:spacing w:before="260" w:after="0"/>
      <w:ind w:firstLine="1080" w:start="0" w:end="0"/>
    </w:pPr>
    <w:rPr/>
  </w:style>
  <w:style w:type="paragraph" w:styleId="BodyTextStyle">
    <w:name w:val="Body Text Style"/>
    <w:basedOn w:val="Normal"/>
    <w:qFormat/>
    <w:pPr>
      <w:spacing w:lineRule="exact" w:line="520"/>
      <w:ind w:firstLine="1080" w:start="0" w:end="0"/>
    </w:pPr>
    <w:rPr>
      <w:rFonts w:ascii="Times New Roman" w:hAnsi="Times New Roman" w:cs="Times New Roman"/>
    </w:rPr>
  </w:style>
  <w:style w:type="paragraph" w:styleId="Bullet-Large">
    <w:name w:val="Bullet-Large"/>
    <w:basedOn w:val="Normal"/>
    <w:qFormat/>
    <w:pPr>
      <w:numPr>
        <w:ilvl w:val="0"/>
        <w:numId w:val="2"/>
      </w:numPr>
      <w:spacing w:before="260" w:after="0"/>
      <w:ind w:hanging="0" w:start="0" w:end="1080"/>
    </w:pPr>
    <w:rPr/>
  </w:style>
  <w:style w:type="paragraph" w:styleId="Bullet-Small">
    <w:name w:val="Bullet-Small"/>
    <w:basedOn w:val="Normal"/>
    <w:qFormat/>
    <w:pPr>
      <w:numPr>
        <w:ilvl w:val="0"/>
        <w:numId w:val="3"/>
      </w:numPr>
      <w:spacing w:before="260" w:after="0"/>
      <w:ind w:hanging="0" w:start="0" w:end="1080"/>
    </w:pPr>
    <w:rPr/>
  </w:style>
  <w:style w:type="paragraph" w:styleId="Center">
    <w:name w:val="Center"/>
    <w:basedOn w:val="Normal"/>
    <w:qFormat/>
    <w:pPr>
      <w:spacing w:before="260" w:after="0"/>
      <w:jc w:val="center"/>
    </w:pPr>
    <w:rPr/>
  </w:style>
  <w:style w:type="paragraph" w:styleId="LeftAlign1">
    <w:name w:val="Left Align 1"/>
    <w:basedOn w:val="Normal"/>
    <w:qFormat/>
    <w:pPr>
      <w:spacing w:before="260" w:after="0"/>
    </w:pPr>
    <w:rPr/>
  </w:style>
  <w:style w:type="paragraph" w:styleId="LeftAlign2">
    <w:name w:val="Left Align 2"/>
    <w:basedOn w:val="Normal"/>
    <w:qFormat/>
    <w:pPr>
      <w:spacing w:lineRule="exact" w:line="520"/>
    </w:pPr>
    <w:rPr/>
  </w:style>
  <w:style w:type="paragraph" w:styleId="SignatureBlock">
    <w:name w:val="Signature Block"/>
    <w:basedOn w:val="Normal"/>
    <w:qFormat/>
    <w:pPr>
      <w:ind w:hanging="0" w:start="4680" w:end="0"/>
    </w:pPr>
    <w:rPr/>
  </w:style>
  <w:style w:type="paragraph" w:styleId="Footer">
    <w:name w:val="footer"/>
    <w:basedOn w:val="Normal"/>
    <w:pPr>
      <w:tabs>
        <w:tab w:val="clear" w:pos="720"/>
        <w:tab w:val="center" w:pos="4320" w:leader="none"/>
        <w:tab w:val="right" w:pos="8640" w:leader="none"/>
      </w:tabs>
      <w:spacing w:lineRule="exact" w:line="260"/>
    </w:pPr>
    <w:rPr/>
  </w:style>
  <w:style w:type="paragraph" w:styleId="FootnoteText">
    <w:name w:val="footnote text"/>
    <w:basedOn w:val="Normal"/>
    <w:pPr>
      <w:spacing w:before="0" w:after="120"/>
    </w:pPr>
    <w:rPr>
      <w:rFonts w:ascii="Times New Roman" w:hAnsi="Times New Roman" w:cs="Times New Roman"/>
    </w:rPr>
  </w:style>
  <w:style w:type="paragraph" w:styleId="EnvelopeReturn">
    <w:name w:val="envelope return"/>
    <w:basedOn w:val="Normal"/>
    <w:pPr>
      <w:spacing w:lineRule="exact" w:line="260"/>
    </w:pPr>
    <w:rPr>
      <w:sz w:val="20"/>
    </w:rPr>
  </w:style>
  <w:style w:type="paragraph" w:styleId="EnvelopeAddress">
    <w:name w:val="envelope address"/>
    <w:basedOn w:val="Normal"/>
    <w:pPr>
      <w:spacing w:lineRule="exact" w:line="260"/>
      <w:ind w:hanging="0" w:start="288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2001-04-10T19:20:00Z</dcterms:created>
  <dc:creator>DSMO</dc:creator>
  <dc:description/>
  <dc:language>en-CA</dc:language>
  <cp:lastModifiedBy>Jackie Gallagher</cp:lastModifiedBy>
  <cp:lastPrinted>2001-04-10T16:30:00Z</cp:lastPrinted>
  <dcterms:modified xsi:type="dcterms:W3CDTF">2001-04-10T19:20:00Z</dcterms:modified>
  <cp:revision>2</cp:revision>
  <dc:subject/>
  <dc:title>EPSA 888 S.Ct. Brief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R9N003!.DOC</vt:lpwstr>
  </property>
  <property fmtid="{D5CDD505-2E9C-101B-9397-08002B2CF9AE}" pid="3" name="DOCSDocVer">
    <vt:lpwstr>3</vt:lpwstr>
  </property>
  <property fmtid="{D5CDD505-2E9C-101B-9397-08002B2CF9AE}" pid="4" name="DOCSNumber">
    <vt:lpwstr>1272204</vt:lpwstr>
  </property>
</Properties>
</file>