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6"/>
        </w:rPr>
      </w:pPr>
      <w:r>
        <w:rPr>
          <w:b/>
          <w:sz w:val="26"/>
        </w:rPr>
        <w:t>UNITED STATES OF AMERICA</w:t>
      </w:r>
    </w:p>
    <w:p>
      <w:pPr>
        <w:pStyle w:val="Normal"/>
        <w:jc w:val="center"/>
        <w:rPr>
          <w:b/>
          <w:sz w:val="26"/>
        </w:rPr>
      </w:pPr>
      <w:r>
        <w:rPr>
          <w:b/>
          <w:sz w:val="26"/>
        </w:rPr>
        <w:t>BEFORE THE</w:t>
      </w:r>
    </w:p>
    <w:p>
      <w:pPr>
        <w:pStyle w:val="Normal"/>
        <w:jc w:val="center"/>
        <w:rPr>
          <w:b/>
          <w:sz w:val="26"/>
        </w:rPr>
      </w:pPr>
      <w:r>
        <w:rPr>
          <w:b/>
          <w:sz w:val="26"/>
        </w:rPr>
        <w:t>FEDERAL ENERGY REGULATORY COMMISSION</w:t>
      </w:r>
    </w:p>
    <w:p>
      <w:pPr>
        <w:pStyle w:val="Normal"/>
        <w:rPr>
          <w:b/>
          <w:sz w:val="26"/>
        </w:rPr>
      </w:pPr>
      <w:r>
        <w:rPr>
          <w:b/>
          <w:sz w:val="26"/>
        </w:rPr>
      </w:r>
    </w:p>
    <w:p>
      <w:pPr>
        <w:pStyle w:val="Normal"/>
        <w:rPr>
          <w:sz w:val="26"/>
        </w:rPr>
      </w:pPr>
      <w:r>
        <w:rPr>
          <w:sz w:val="26"/>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6"/>
        </w:rPr>
      </w:pPr>
      <w:r>
        <w:rPr>
          <w:sz w:val="26"/>
        </w:rPr>
        <w:t>San Diego Gas &amp; Electric Company</w:t>
        <w:tab/>
        <w:t>)</w:t>
      </w:r>
    </w:p>
    <w:p>
      <w:pPr>
        <w:pStyle w:val="Normal"/>
        <w:rPr>
          <w:sz w:val="26"/>
        </w:rPr>
      </w:pPr>
      <w:r>
        <w:rPr>
          <w:sz w:val="26"/>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6"/>
        </w:rPr>
      </w:pPr>
      <w:r>
        <w:rPr>
          <w:sz w:val="26"/>
        </w:rPr>
        <w:tab/>
        <w:tab/>
        <w:t>Complainant</w:t>
        <w:tab/>
        <w:tab/>
        <w:tab/>
        <w:t>)</w:t>
      </w:r>
    </w:p>
    <w:p>
      <w:pPr>
        <w:pStyle w:val="Normal"/>
        <w:rPr>
          <w:sz w:val="26"/>
        </w:rPr>
      </w:pPr>
      <w:r>
        <w:rPr>
          <w:sz w:val="26"/>
        </w:rPr>
        <w:tab/>
        <w:tab/>
        <w:tab/>
        <w:tab/>
        <w:tab/>
        <w:tab/>
        <w:t>)</w:t>
      </w:r>
    </w:p>
    <w:p>
      <w:pPr>
        <w:pStyle w:val="1AutoList1"/>
        <w:numPr>
          <w:ilvl w:val="0"/>
          <w:numId w:val="10"/>
        </w:numPr>
        <w:tabs>
          <w:tab w:val="left" w:pos="720" w:leader="none"/>
          <w:tab w:val="left" w:pos="1440" w:leader="none"/>
          <w:tab w:val="left" w:pos="2160" w:leader="none"/>
        </w:tabs>
        <w:rPr>
          <w:sz w:val="26"/>
        </w:rPr>
      </w:pPr>
      <w:r>
        <w:rPr>
          <w:sz w:val="26"/>
        </w:rPr>
        <w:tab/>
        <w:tab/>
        <w:tab/>
        <w:t>)</w:t>
        <w:tab/>
        <w:tab/>
        <w:t>Docket No. EL00-95-045</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rPr>
          <w:sz w:val="26"/>
        </w:rPr>
      </w:pPr>
      <w:r>
        <w:rPr>
          <w:sz w:val="26"/>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rPr>
          <w:sz w:val="26"/>
        </w:rPr>
      </w:pPr>
      <w:r>
        <w:rPr>
          <w:sz w:val="26"/>
        </w:rPr>
        <w:t>Sellers of Energy and Ancillary Services</w:t>
        <w:tab/>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rPr>
          <w:sz w:val="26"/>
        </w:rPr>
      </w:pPr>
      <w:r>
        <w:rPr>
          <w:sz w:val="26"/>
        </w:rPr>
        <w:tab/>
        <w:t xml:space="preserve">Into Markets Operated by the </w:t>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6"/>
        </w:rPr>
      </w:pPr>
      <w:r>
        <w:rPr>
          <w:sz w:val="26"/>
        </w:rPr>
        <w:tab/>
        <w:t>California Independent System</w:t>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6"/>
        </w:rPr>
      </w:pPr>
      <w:r>
        <w:rPr>
          <w:sz w:val="26"/>
        </w:rPr>
        <w:tab/>
        <w:t xml:space="preserve">Operator Corporation and the </w:t>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6"/>
        </w:rPr>
      </w:pPr>
      <w:r>
        <w:rPr>
          <w:sz w:val="26"/>
        </w:rPr>
        <w:tab/>
        <w:t>California Power Exchange,</w:t>
        <w:tab/>
        <w:t>)</w:t>
      </w:r>
    </w:p>
    <w:p>
      <w:pPr>
        <w:pStyle w:val="Normal"/>
        <w:rPr>
          <w:sz w:val="26"/>
        </w:rPr>
      </w:pPr>
      <w:r>
        <w:rPr>
          <w:sz w:val="26"/>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6"/>
        </w:rPr>
      </w:pPr>
      <w:r>
        <w:rPr>
          <w:sz w:val="26"/>
        </w:rPr>
        <w:tab/>
        <w:tab/>
        <w:t>Respondents</w:t>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6"/>
        </w:rPr>
      </w:pPr>
      <w:r>
        <w:rPr>
          <w:sz w:val="26"/>
        </w:rPr>
        <w:tab/>
        <w:tab/>
        <w:tab/>
        <w:tab/>
        <w:tab/>
        <w:tab/>
        <w:t>)</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6"/>
        </w:rPr>
      </w:pPr>
      <w:r>
        <w:rPr>
          <w:sz w:val="26"/>
        </w:rPr>
        <w:t xml:space="preserve">Investigation of Practices of the </w:t>
        <w:tab/>
        <w:tab/>
        <w:t>)</w:t>
        <w:tab/>
        <w:tab/>
        <w:t>Docket No. EL00-98-042</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6"/>
        </w:rPr>
      </w:pPr>
      <w:r>
        <w:rPr>
          <w:sz w:val="26"/>
        </w:rPr>
        <w:t>California Independent System Operator )</w:t>
      </w:r>
    </w:p>
    <w:p>
      <w:pPr>
        <w:pStyle w:val="Normal"/>
        <w:tabs>
          <w:tab w:val="left" w:pos="720" w:leader="none"/>
          <w:tab w:val="left" w:pos="1440" w:leader="none"/>
          <w:tab w:val="left" w:pos="2160" w:leader="none"/>
          <w:tab w:val="left" w:pos="2880" w:leader="none"/>
          <w:tab w:val="left" w:pos="3600" w:leader="none"/>
          <w:tab w:val="left" w:pos="4320" w:leader="none"/>
        </w:tabs>
        <w:ind w:hanging="4320" w:start="4320" w:end="0"/>
        <w:rPr>
          <w:sz w:val="26"/>
        </w:rPr>
      </w:pPr>
      <w:r>
        <w:rPr>
          <w:sz w:val="26"/>
        </w:rPr>
        <w:t>and the California Power Exchange</w:t>
        <w:tab/>
        <w:t>)</w:t>
      </w:r>
    </w:p>
    <w:p>
      <w:pPr>
        <w:pStyle w:val="Normal"/>
        <w:rPr>
          <w:sz w:val="26"/>
        </w:rPr>
      </w:pPr>
      <w:r>
        <w:rPr>
          <w:sz w:val="26"/>
        </w:rPr>
        <w:t>_________________________________)</w:t>
      </w:r>
    </w:p>
    <w:p>
      <w:pPr>
        <w:pStyle w:val="Normal"/>
        <w:rPr>
          <w:sz w:val="26"/>
        </w:rPr>
      </w:pPr>
      <w:r>
        <w:rPr>
          <w:sz w:val="26"/>
        </w:rPr>
      </w:r>
    </w:p>
    <w:p>
      <w:pPr>
        <w:pStyle w:val="Normal"/>
        <w:rPr>
          <w:sz w:val="26"/>
        </w:rPr>
      </w:pPr>
      <w:r>
        <w:rPr>
          <w:sz w:val="26"/>
        </w:rPr>
      </w:r>
    </w:p>
    <w:p>
      <w:pPr>
        <w:pStyle w:val="Normal"/>
        <w:jc w:val="center"/>
        <w:rPr>
          <w:b/>
          <w:sz w:val="26"/>
        </w:rPr>
      </w:pPr>
      <w:r>
        <w:rPr>
          <w:b/>
          <w:sz w:val="26"/>
        </w:rPr>
        <w:t xml:space="preserve">SUPPLEMENTAL RESPONSES OF THE CALIFORNIA PARTIES TO </w:t>
      </w:r>
    </w:p>
    <w:p>
      <w:pPr>
        <w:pStyle w:val="Normal"/>
        <w:jc w:val="center"/>
        <w:rPr>
          <w:sz w:val="26"/>
        </w:rPr>
      </w:pPr>
      <w:r>
        <w:rPr>
          <w:b/>
          <w:sz w:val="26"/>
        </w:rPr>
        <w:t xml:space="preserve">DUKE ENERGY’S SECOND SET OF DATA REQUESTS </w:t>
      </w:r>
    </w:p>
    <w:p>
      <w:pPr>
        <w:pStyle w:val="Normal"/>
        <w:jc w:val="center"/>
        <w:rPr>
          <w:b/>
          <w:sz w:val="26"/>
        </w:rPr>
      </w:pPr>
      <w:r>
        <w:rPr>
          <w:b/>
          <w:sz w:val="26"/>
        </w:rPr>
      </w:r>
    </w:p>
    <w:p>
      <w:pPr>
        <w:pStyle w:val="BodyText"/>
        <w:spacing w:lineRule="auto" w:line="480"/>
        <w:rPr>
          <w:sz w:val="26"/>
        </w:rPr>
      </w:pPr>
      <w:r>
        <w:rPr>
          <w:sz w:val="26"/>
        </w:rPr>
        <w:tab/>
        <w:t>In response to “Duke Energy’s Second Set of Data Requests To The California Parties,” the California Parties (collectively, the Attorney General for the State of  California, the California Electricity Oversight Board, the California Public Utilities Commission, Pacific Gas and Electric Company (“PG&amp;E”), San Diego Gas &amp; Electric Company (“SDG&amp;E”), and Southern California Edison Company (“Edison”)) hereby supplement their responses as follows:</w:t>
      </w:r>
      <w:r>
        <w:br w:type="page"/>
      </w:r>
    </w:p>
    <w:p>
      <w:pPr>
        <w:pStyle w:val="BodyText"/>
        <w:tabs>
          <w:tab w:val="clear" w:pos="720"/>
          <w:tab w:val="left" w:pos="5940" w:leader="none"/>
        </w:tabs>
        <w:ind w:hanging="0" w:end="0"/>
        <w:jc w:val="center"/>
        <w:rPr>
          <w:b/>
          <w:sz w:val="26"/>
        </w:rPr>
      </w:pPr>
      <w:r>
        <w:rPr>
          <w:b/>
          <w:sz w:val="26"/>
        </w:rPr>
        <w:t>RESPONSES OF THE CALIFORNIA PARTIES TO DUKE ENERGY’S SECOND SET OF DATA REQUESTS</w:t>
      </w:r>
    </w:p>
    <w:p>
      <w:pPr>
        <w:pStyle w:val="BodyText"/>
        <w:ind w:hanging="0" w:end="0"/>
        <w:rPr>
          <w:b/>
          <w:sz w:val="26"/>
        </w:rPr>
      </w:pPr>
      <w:r>
        <w:rPr>
          <w:b/>
          <w:sz w:val="26"/>
        </w:rPr>
      </w:r>
    </w:p>
    <w:p>
      <w:pPr>
        <w:pStyle w:val="BodyText"/>
        <w:rPr>
          <w:sz w:val="26"/>
        </w:rPr>
      </w:pPr>
      <w:r>
        <w:rPr>
          <w:sz w:val="26"/>
        </w:rPr>
        <w:t>To the extent not already provided in the responsive testimony and exhibits filed by the California Parties on November 6, 2001, please provide the following information.   If the requested information has been provided, please so state and indicate where in the responsive testimony and exhibits of the California Parties that it can be found.</w:t>
      </w:r>
    </w:p>
    <w:p>
      <w:pPr>
        <w:pStyle w:val="Normal"/>
        <w:rPr>
          <w:sz w:val="26"/>
        </w:rPr>
      </w:pPr>
      <w:r>
        <w:rPr>
          <w:sz w:val="26"/>
        </w:rPr>
      </w:r>
    </w:p>
    <w:p>
      <w:pPr>
        <w:pStyle w:val="ListBulletPara"/>
        <w:numPr>
          <w:ilvl w:val="0"/>
          <w:numId w:val="12"/>
        </w:numPr>
        <w:jc w:val="start"/>
        <w:rPr>
          <w:sz w:val="26"/>
        </w:rPr>
      </w:pPr>
      <w:r>
        <w:rPr>
          <w:sz w:val="26"/>
        </w:rPr>
        <w:t>All data relied on to support or develop any opinions and results expressed in Dr. Gary Stern’s testimony, including:</w:t>
      </w:r>
    </w:p>
    <w:p>
      <w:pPr>
        <w:pStyle w:val="ListBulletPara"/>
        <w:numPr>
          <w:ilvl w:val="0"/>
          <w:numId w:val="0"/>
        </w:numPr>
        <w:tabs>
          <w:tab w:val="left" w:pos="720" w:leader="none"/>
          <w:tab w:val="left" w:pos="1440" w:leader="none"/>
        </w:tabs>
        <w:ind w:hanging="1080" w:start="720" w:end="0"/>
        <w:jc w:val="start"/>
        <w:rPr>
          <w:sz w:val="26"/>
        </w:rPr>
      </w:pPr>
      <w:r>
        <w:rPr>
          <w:sz w:val="26"/>
        </w:rPr>
        <w:tab/>
        <w:t>a.  Any workpapers showing the sources of the input data used in the models.</w:t>
      </w:r>
    </w:p>
    <w:p>
      <w:pPr>
        <w:pStyle w:val="ListBulletPara"/>
        <w:numPr>
          <w:ilvl w:val="0"/>
          <w:numId w:val="0"/>
        </w:numPr>
        <w:tabs>
          <w:tab w:val="left" w:pos="720" w:leader="none"/>
          <w:tab w:val="left" w:pos="1440" w:leader="none"/>
        </w:tabs>
        <w:ind w:hanging="1080" w:start="720" w:end="0"/>
        <w:jc w:val="start"/>
        <w:rPr>
          <w:sz w:val="26"/>
        </w:rPr>
      </w:pPr>
      <w:r>
        <w:rPr>
          <w:sz w:val="26"/>
        </w:rPr>
        <w:tab/>
        <w:t>b.  Any workpapers showing the range of possible results.</w:t>
      </w:r>
    </w:p>
    <w:p>
      <w:pPr>
        <w:pStyle w:val="ListBulletPara"/>
        <w:numPr>
          <w:ilvl w:val="0"/>
          <w:numId w:val="0"/>
        </w:numPr>
        <w:tabs>
          <w:tab w:val="left" w:pos="720" w:leader="none"/>
          <w:tab w:val="left" w:pos="1440" w:leader="none"/>
        </w:tabs>
        <w:ind w:hanging="1080" w:start="720" w:end="0"/>
        <w:jc w:val="start"/>
        <w:rPr>
          <w:sz w:val="26"/>
        </w:rPr>
      </w:pPr>
      <w:r>
        <w:rPr>
          <w:sz w:val="26"/>
        </w:rPr>
        <w:tab/>
        <w:t>c.  Files showing input data for results and exhibits presented in testimony.</w:t>
      </w:r>
    </w:p>
    <w:p>
      <w:pPr>
        <w:pStyle w:val="ListBulletPara"/>
        <w:numPr>
          <w:ilvl w:val="0"/>
          <w:numId w:val="0"/>
        </w:numPr>
        <w:tabs>
          <w:tab w:val="left" w:pos="720" w:leader="none"/>
          <w:tab w:val="left" w:pos="1440" w:leader="none"/>
        </w:tabs>
        <w:ind w:hanging="1080" w:start="720" w:end="0"/>
        <w:jc w:val="start"/>
        <w:rPr>
          <w:sz w:val="26"/>
        </w:rPr>
      </w:pPr>
      <w:r>
        <w:rPr>
          <w:sz w:val="26"/>
        </w:rPr>
        <w:tab/>
        <w:t xml:space="preserve">d.  Files showing output for results and exhibits presented in testimony. </w:t>
      </w:r>
    </w:p>
    <w:p>
      <w:pPr>
        <w:pStyle w:val="ListBulletPara"/>
        <w:numPr>
          <w:ilvl w:val="0"/>
          <w:numId w:val="0"/>
        </w:numPr>
        <w:tabs>
          <w:tab w:val="left" w:pos="720" w:leader="none"/>
          <w:tab w:val="left" w:pos="1440" w:leader="none"/>
        </w:tabs>
        <w:ind w:hanging="1080" w:start="720" w:end="0"/>
        <w:jc w:val="start"/>
        <w:rPr>
          <w:sz w:val="26"/>
        </w:rPr>
      </w:pPr>
      <w:r>
        <w:rPr>
          <w:sz w:val="26"/>
        </w:rPr>
        <w:tab/>
        <w:t xml:space="preserve">e.   Any manual corrections or adjustments to data. </w:t>
      </w:r>
    </w:p>
    <w:p>
      <w:pPr>
        <w:pStyle w:val="SectionBreakAnchor21"/>
        <w:rPr>
          <w:sz w:val="26"/>
        </w:rPr>
      </w:pPr>
      <w:r>
        <w:rPr>
          <w:sz w:val="26"/>
        </w:rPr>
      </w:r>
    </w:p>
    <w:p>
      <w:pPr>
        <w:pStyle w:val="Normal"/>
        <w:tabs>
          <w:tab w:val="clear" w:pos="720"/>
          <w:tab w:val="left" w:pos="1440" w:leader="none"/>
        </w:tabs>
        <w:rPr>
          <w:b/>
          <w:sz w:val="26"/>
        </w:rPr>
      </w:pPr>
      <w:r>
        <w:rPr>
          <w:b/>
          <w:sz w:val="26"/>
        </w:rPr>
        <w:t>Response:</w:t>
      </w:r>
    </w:p>
    <w:p>
      <w:pPr>
        <w:pStyle w:val="Normal"/>
        <w:tabs>
          <w:tab w:val="clear" w:pos="720"/>
          <w:tab w:val="left" w:pos="1440" w:leader="none"/>
        </w:tabs>
        <w:rPr>
          <w:b/>
          <w:sz w:val="26"/>
        </w:rPr>
      </w:pPr>
      <w:r>
        <w:rPr>
          <w:b/>
          <w:sz w:val="26"/>
        </w:rPr>
      </w:r>
    </w:p>
    <w:p>
      <w:pPr>
        <w:pStyle w:val="BodyTextIndent"/>
        <w:tabs>
          <w:tab w:val="left" w:pos="720" w:leader="none"/>
          <w:tab w:val="left" w:pos="1440" w:leader="none"/>
        </w:tabs>
        <w:ind w:hanging="720" w:start="720" w:end="0"/>
        <w:rPr>
          <w:rFonts w:ascii="Times New Roman" w:hAnsi="Times New Roman" w:cs="Times New Roman"/>
          <w:sz w:val="26"/>
        </w:rPr>
      </w:pPr>
      <w:r>
        <w:rPr>
          <w:rFonts w:cs="Times New Roman" w:ascii="Times New Roman" w:hAnsi="Times New Roman"/>
          <w:sz w:val="26"/>
        </w:rPr>
        <w:tab/>
        <w:t>8(a)-(e)  Please see additional workpapers in the attached zip file.</w:t>
      </w:r>
    </w:p>
    <w:p>
      <w:pPr>
        <w:pStyle w:val="BodyText"/>
        <w:rPr>
          <w:rFonts w:ascii="Times New Roman" w:hAnsi="Times New Roman" w:cs="Times New Roman"/>
          <w:sz w:val="26"/>
        </w:rPr>
      </w:pPr>
      <w:r>
        <w:rPr>
          <w:rFonts w:cs="Times New Roman"/>
          <w:sz w:val="26"/>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BodyText"/>
        <w:rPr>
          <w:sz w:val="26"/>
        </w:rPr>
      </w:pPr>
      <w:r>
        <w:rPr>
          <w:sz w:val="26"/>
        </w:rPr>
        <w:t>Response Prepared by Dr. Gary A. Stern</w:t>
      </w:r>
    </w:p>
    <w:p>
      <w:pPr>
        <w:pStyle w:val="BodyText"/>
        <w:spacing w:before="0" w:after="0"/>
        <w:jc w:val="center"/>
        <w:rPr>
          <w:b/>
          <w:sz w:val="26"/>
        </w:rPr>
      </w:pPr>
      <w:r>
        <w:rPr>
          <w:b/>
          <w:sz w:val="26"/>
        </w:rPr>
        <w:t xml:space="preserve"> </w:t>
      </w:r>
      <w:r>
        <w:rPr>
          <w:b/>
          <w:sz w:val="26"/>
        </w:rPr>
        <w:t>RESPONSES OF THE CALIFORNIA PARTIES TO DUKE ENERGY’S SECOND SET OF DATA REQUESTS</w:t>
      </w:r>
    </w:p>
    <w:p>
      <w:pPr>
        <w:pStyle w:val="BodyText"/>
        <w:jc w:val="center"/>
        <w:rPr>
          <w:b/>
          <w:sz w:val="26"/>
        </w:rPr>
      </w:pPr>
      <w:r>
        <w:rPr>
          <w:b/>
          <w:sz w:val="26"/>
        </w:rPr>
      </w:r>
    </w:p>
    <w:p>
      <w:pPr>
        <w:pStyle w:val="BodyText"/>
        <w:ind w:hanging="0" w:end="0"/>
        <w:rPr>
          <w:b/>
          <w:sz w:val="26"/>
        </w:rPr>
      </w:pPr>
      <w:r>
        <w:rPr>
          <w:sz w:val="26"/>
        </w:rPr>
        <w:t>To the extent not already provided in the responsive testimony and exhibits filed by the California Parties on November 6, 2001, please provide the following information.   If the requested information has been provided, please so state and indicate where in the responsive testimony and exhibits of the California Parties that it can be found.</w:t>
      </w:r>
    </w:p>
    <w:p>
      <w:pPr>
        <w:pStyle w:val="BodyText"/>
        <w:numPr>
          <w:ilvl w:val="0"/>
          <w:numId w:val="12"/>
        </w:numPr>
        <w:rPr>
          <w:sz w:val="26"/>
        </w:rPr>
      </w:pPr>
      <w:r>
        <w:rPr>
          <w:sz w:val="26"/>
        </w:rPr>
        <w:t>All executable models, spreadsheets and/or other calculation tools and related documents applied to such data in order to develop and/or support the opinions, results and/or exhibits described in Dr. Stern’s testimony.</w:t>
      </w:r>
    </w:p>
    <w:p>
      <w:pPr>
        <w:pStyle w:val="SectionBreakAnchor"/>
        <w:rPr>
          <w:sz w:val="26"/>
        </w:rPr>
      </w:pPr>
      <w:r>
        <w:rPr>
          <w:sz w:val="26"/>
        </w:rPr>
      </w:r>
    </w:p>
    <w:p>
      <w:pPr>
        <w:pStyle w:val="SectionBreakAnchor21"/>
        <w:rPr>
          <w:sz w:val="26"/>
        </w:rPr>
      </w:pPr>
      <w:r>
        <w:rPr>
          <w:sz w:val="26"/>
        </w:rPr>
      </w:r>
    </w:p>
    <w:p>
      <w:pPr>
        <w:pStyle w:val="Normal"/>
        <w:tabs>
          <w:tab w:val="clear" w:pos="720"/>
          <w:tab w:val="left" w:pos="1440" w:leader="none"/>
        </w:tabs>
        <w:rPr>
          <w:b/>
          <w:sz w:val="26"/>
        </w:rPr>
      </w:pPr>
      <w:r>
        <w:rPr>
          <w:b/>
          <w:sz w:val="26"/>
        </w:rPr>
        <w:t>Response:</w:t>
      </w:r>
    </w:p>
    <w:p>
      <w:pPr>
        <w:pStyle w:val="BodyTextIndent"/>
        <w:rPr>
          <w:rFonts w:ascii="Times New Roman" w:hAnsi="Times New Roman" w:cs="Times New Roman"/>
          <w:b/>
          <w:sz w:val="26"/>
        </w:rPr>
      </w:pPr>
      <w:r>
        <w:rPr>
          <w:rFonts w:cs="Times New Roman" w:ascii="Times New Roman" w:hAnsi="Times New Roman"/>
          <w:b/>
          <w:sz w:val="26"/>
        </w:rPr>
      </w:r>
    </w:p>
    <w:p>
      <w:pPr>
        <w:pStyle w:val="BodyTextIndent"/>
        <w:tabs>
          <w:tab w:val="left" w:pos="720" w:leader="none"/>
          <w:tab w:val="left" w:pos="1440" w:leader="none"/>
        </w:tabs>
        <w:ind w:hanging="720" w:start="720" w:end="0"/>
        <w:rPr>
          <w:rFonts w:ascii="Times New Roman" w:hAnsi="Times New Roman" w:cs="Times New Roman"/>
          <w:sz w:val="26"/>
        </w:rPr>
      </w:pPr>
      <w:r>
        <w:rPr>
          <w:rFonts w:cs="Times New Roman" w:ascii="Times New Roman" w:hAnsi="Times New Roman"/>
          <w:sz w:val="26"/>
        </w:rPr>
        <w:tab/>
        <w:t>Please see response to Data Request Number 8.</w:t>
      </w:r>
    </w:p>
    <w:p>
      <w:pPr>
        <w:pStyle w:val="BodyText"/>
        <w:rPr>
          <w:rFonts w:ascii="Times New Roman" w:hAnsi="Times New Roman" w:cs="Times New Roman"/>
          <w:sz w:val="26"/>
        </w:rPr>
      </w:pPr>
      <w:r>
        <w:rPr>
          <w:rFonts w:cs="Times New Roman"/>
          <w:sz w:val="26"/>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BodyText"/>
        <w:rPr>
          <w:sz w:val="26"/>
        </w:rPr>
      </w:pPr>
      <w:r>
        <w:rPr>
          <w:sz w:val="26"/>
        </w:rPr>
        <w:t>Response Prepared by Dr. Gary A. Stern</w:t>
      </w:r>
    </w:p>
    <w:p>
      <w:pPr>
        <w:pStyle w:val="BodyText"/>
        <w:spacing w:before="0" w:after="0"/>
        <w:jc w:val="center"/>
        <w:rPr>
          <w:b/>
          <w:sz w:val="26"/>
        </w:rPr>
      </w:pPr>
      <w:r>
        <w:rPr>
          <w:b/>
          <w:sz w:val="26"/>
        </w:rPr>
        <w:t>RESPONSES OF THE CALIFORNIA PARTIES TO DUKE ENERGY’S SECOND SET OF DATA REQUESTS</w:t>
      </w:r>
    </w:p>
    <w:p>
      <w:pPr>
        <w:pStyle w:val="BodyText"/>
        <w:rPr>
          <w:b/>
          <w:sz w:val="26"/>
        </w:rPr>
      </w:pPr>
      <w:r>
        <w:rPr>
          <w:b/>
          <w:sz w:val="26"/>
        </w:rPr>
      </w:r>
    </w:p>
    <w:p>
      <w:pPr>
        <w:pStyle w:val="BodyText"/>
        <w:rPr>
          <w:sz w:val="26"/>
        </w:rPr>
      </w:pPr>
      <w:r>
        <w:rPr>
          <w:sz w:val="26"/>
        </w:rPr>
        <w:t>To the extent not already provided in the responsive testimony and exhibits filed by the California Parties on November 6, 2001, please provide the following information.   If the requested information has been provided, please so state and indicate where in the responsive testimony and exhibits of the California Parties that it can be found.</w:t>
      </w:r>
    </w:p>
    <w:p>
      <w:pPr>
        <w:pStyle w:val="SectionBreakAnchor"/>
        <w:numPr>
          <w:ilvl w:val="0"/>
          <w:numId w:val="12"/>
        </w:numPr>
        <w:rPr>
          <w:sz w:val="26"/>
        </w:rPr>
      </w:pPr>
      <w:r>
        <w:rPr>
          <w:sz w:val="26"/>
        </w:rPr>
        <w:t>Any annotated versions of models and/or spreadsheets requested in No. 2 [</w:t>
      </w:r>
      <w:r>
        <w:rPr>
          <w:i/>
          <w:sz w:val="26"/>
        </w:rPr>
        <w:t>sic</w:t>
      </w:r>
      <w:r>
        <w:rPr>
          <w:sz w:val="26"/>
        </w:rPr>
        <w:t>] above that show the formulas used.</w:t>
      </w:r>
    </w:p>
    <w:p>
      <w:pPr>
        <w:pStyle w:val="SectionBreakAnchor21"/>
        <w:rPr>
          <w:sz w:val="26"/>
        </w:rPr>
      </w:pPr>
      <w:r>
        <w:rPr>
          <w:sz w:val="26"/>
        </w:rPr>
      </w:r>
    </w:p>
    <w:p>
      <w:pPr>
        <w:pStyle w:val="BodyText"/>
        <w:ind w:hanging="0" w:end="0"/>
        <w:rPr>
          <w:b/>
          <w:sz w:val="26"/>
        </w:rPr>
      </w:pPr>
      <w:r>
        <w:rPr>
          <w:b/>
          <w:sz w:val="26"/>
        </w:rPr>
        <w:t>Response:</w:t>
      </w:r>
    </w:p>
    <w:p>
      <w:pPr>
        <w:pStyle w:val="BodyText"/>
        <w:ind w:hanging="720" w:start="720" w:end="0"/>
        <w:rPr/>
      </w:pPr>
      <w:r>
        <w:rPr>
          <w:b/>
          <w:sz w:val="26"/>
        </w:rPr>
        <w:tab/>
      </w:r>
      <w:r>
        <w:rPr>
          <w:sz w:val="26"/>
        </w:rPr>
        <w:t>Please see response to Data Request Number 8.</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Style w:val="BodyText"/>
        <w:ind w:hanging="720" w:start="720" w:end="0"/>
        <w:rPr>
          <w:sz w:val="26"/>
        </w:rPr>
      </w:pPr>
      <w:r>
        <w:rPr>
          <w:sz w:val="26"/>
        </w:rPr>
        <w:tab/>
        <w:t>Response Prepared by Dr. Gary A. Stern</w:t>
      </w:r>
    </w:p>
    <w:p>
      <w:pPr>
        <w:pStyle w:val="BodyText"/>
        <w:spacing w:before="0" w:after="0"/>
        <w:jc w:val="center"/>
        <w:rPr>
          <w:b/>
          <w:sz w:val="26"/>
        </w:rPr>
      </w:pPr>
      <w:r>
        <w:rPr>
          <w:b/>
          <w:sz w:val="26"/>
        </w:rPr>
        <w:t>RESPONSES OF THE CALIFORNIA PARTIES TO DUKE ENERGY’S SECOND SET OF DATA REQUESTS</w:t>
      </w:r>
    </w:p>
    <w:p>
      <w:pPr>
        <w:pStyle w:val="SectionBreakAnchor21"/>
        <w:rPr>
          <w:b/>
          <w:sz w:val="26"/>
        </w:rPr>
      </w:pPr>
      <w:r>
        <w:rPr>
          <w:b/>
          <w:sz w:val="26"/>
        </w:rPr>
      </w:r>
    </w:p>
    <w:p>
      <w:pPr>
        <w:pStyle w:val="BodyText"/>
        <w:rPr>
          <w:sz w:val="26"/>
        </w:rPr>
      </w:pPr>
      <w:r>
        <w:rPr>
          <w:sz w:val="26"/>
        </w:rPr>
        <w:t>To the extent not already provided in the responsive testimony and exhibits filed by the California Parties on November 6, 2001, please provide the following information.   If the requested information has been provided, please so state and indicate where in the responsive testimony and exhibits of the California Parties that it can be found.</w:t>
      </w:r>
    </w:p>
    <w:p>
      <w:pPr>
        <w:pStyle w:val="ListBulletPara"/>
        <w:numPr>
          <w:ilvl w:val="0"/>
          <w:numId w:val="12"/>
        </w:numPr>
        <w:jc w:val="start"/>
        <w:rPr>
          <w:sz w:val="26"/>
        </w:rPr>
      </w:pPr>
      <w:r>
        <w:rPr>
          <w:sz w:val="26"/>
        </w:rPr>
        <w:t>Any written documentation of the models and/or spreadsheets requested in No. 2 [</w:t>
      </w:r>
      <w:r>
        <w:rPr>
          <w:i/>
          <w:sz w:val="26"/>
        </w:rPr>
        <w:t>sic</w:t>
      </w:r>
      <w:r>
        <w:rPr>
          <w:sz w:val="26"/>
        </w:rPr>
        <w:t xml:space="preserve">] above that exist, including any outlines or flowcharts of linkages among model data. </w:t>
      </w:r>
    </w:p>
    <w:p>
      <w:pPr>
        <w:pStyle w:val="BodyText"/>
        <w:ind w:hanging="0" w:end="0"/>
        <w:rPr>
          <w:b/>
          <w:sz w:val="26"/>
        </w:rPr>
      </w:pPr>
      <w:r>
        <w:rPr>
          <w:b/>
          <w:sz w:val="26"/>
        </w:rPr>
        <w:t>Response:</w:t>
      </w:r>
    </w:p>
    <w:p>
      <w:pPr>
        <w:pStyle w:val="BodyText"/>
        <w:ind w:hanging="0" w:start="720" w:end="0"/>
        <w:rPr>
          <w:sz w:val="26"/>
        </w:rPr>
      </w:pPr>
      <w:r>
        <w:rPr>
          <w:sz w:val="26"/>
        </w:rPr>
        <w:t xml:space="preserve">Not applicable. </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fmt="decimal"/>
          <w:formProt w:val="false"/>
          <w:titlePg/>
          <w:textDirection w:val="lrTb"/>
          <w:docGrid w:type="default" w:linePitch="360" w:charSpace="0"/>
        </w:sectPr>
        <w:pStyle w:val="BodyText"/>
        <w:ind w:hanging="0" w:start="720" w:end="0"/>
        <w:rPr>
          <w:sz w:val="26"/>
        </w:rPr>
      </w:pPr>
      <w:r>
        <w:rPr>
          <w:sz w:val="26"/>
        </w:rPr>
        <w:t>Response Prepared by Dr. Gary A. Stern</w:t>
      </w:r>
    </w:p>
    <w:p>
      <w:pPr>
        <w:pStyle w:val="BodyText"/>
        <w:spacing w:before="0" w:after="0"/>
        <w:jc w:val="center"/>
        <w:rPr>
          <w:b/>
          <w:sz w:val="26"/>
        </w:rPr>
      </w:pPr>
      <w:r>
        <w:rPr>
          <w:b/>
          <w:sz w:val="26"/>
        </w:rPr>
        <w:t xml:space="preserve"> </w:t>
      </w:r>
      <w:r>
        <w:rPr>
          <w:b/>
          <w:sz w:val="26"/>
        </w:rPr>
        <w:t>RESPONSES OF THE CALIFORNIA PARTIES TO DUKE ENERGY’S SECOND SET OF DATA REQUESTS</w:t>
      </w:r>
    </w:p>
    <w:p>
      <w:pPr>
        <w:pStyle w:val="SectionBreakAnchor21"/>
        <w:rPr>
          <w:b/>
          <w:sz w:val="26"/>
        </w:rPr>
      </w:pPr>
      <w:r>
        <w:rPr>
          <w:b/>
          <w:sz w:val="26"/>
        </w:rPr>
      </w:r>
    </w:p>
    <w:p>
      <w:pPr>
        <w:pStyle w:val="BodyText"/>
        <w:rPr>
          <w:sz w:val="26"/>
        </w:rPr>
      </w:pPr>
      <w:r>
        <w:rPr>
          <w:sz w:val="26"/>
        </w:rPr>
        <w:t>To the extent not already provided in the responsive testimony and exhibits filed by the California Parties on November 6, 2001, please provide the following information.   If the requested information has been provided, please so state and indicate where in the responsive testimony and exhibits of the California Parties that it can be found.</w:t>
      </w:r>
    </w:p>
    <w:p>
      <w:pPr>
        <w:pStyle w:val="BodyText"/>
        <w:numPr>
          <w:ilvl w:val="0"/>
          <w:numId w:val="12"/>
        </w:numPr>
        <w:rPr>
          <w:sz w:val="26"/>
        </w:rPr>
      </w:pPr>
      <w:r>
        <w:rPr>
          <w:sz w:val="26"/>
        </w:rPr>
        <w:t>All runs of models and/or spreadsheets that have been used to support the opinions and/or results expressed in Dr. Stern’s testimony, including any runs which provide sensitivities or variations in results, and any runs used to verify the accuracy or validity of the results.</w:t>
      </w:r>
    </w:p>
    <w:p>
      <w:pPr>
        <w:pStyle w:val="Normal"/>
        <w:tabs>
          <w:tab w:val="clear" w:pos="720"/>
          <w:tab w:val="left" w:pos="1440" w:leader="none"/>
        </w:tabs>
        <w:rPr>
          <w:b/>
          <w:sz w:val="26"/>
        </w:rPr>
      </w:pPr>
      <w:r>
        <w:rPr>
          <w:b/>
          <w:sz w:val="26"/>
        </w:rPr>
        <w:t>Response:</w:t>
      </w:r>
    </w:p>
    <w:p>
      <w:pPr>
        <w:pStyle w:val="Normal"/>
        <w:tabs>
          <w:tab w:val="clear" w:pos="720"/>
          <w:tab w:val="left" w:pos="1440" w:leader="none"/>
        </w:tabs>
        <w:rPr>
          <w:b/>
          <w:sz w:val="26"/>
        </w:rPr>
      </w:pPr>
      <w:r>
        <w:rPr>
          <w:b/>
          <w:sz w:val="26"/>
        </w:rPr>
      </w:r>
    </w:p>
    <w:p>
      <w:pPr>
        <w:pStyle w:val="BodyText"/>
        <w:ind w:hanging="0" w:start="720" w:end="0"/>
        <w:rPr>
          <w:sz w:val="26"/>
        </w:rPr>
      </w:pPr>
      <w:r>
        <w:rPr>
          <w:sz w:val="26"/>
        </w:rPr>
        <w:t>Please see response to Data Request Number 8.</w:t>
      </w:r>
    </w:p>
    <w:p>
      <w:pPr>
        <w:pStyle w:val="BodyText"/>
        <w:ind w:hanging="0" w:end="0"/>
        <w:rPr>
          <w:sz w:val="26"/>
        </w:rPr>
      </w:pPr>
      <w:r>
        <w:rPr>
          <w:sz w:val="26"/>
        </w:rPr>
        <w:tab/>
        <w:t>Response Prepared by Dr. Gary A. Stern</w:t>
      </w:r>
      <w:r>
        <w:br w:type="page"/>
      </w:r>
    </w:p>
    <w:p>
      <w:pPr>
        <w:pStyle w:val="BodyText"/>
        <w:ind w:hanging="0" w:end="0"/>
        <w:jc w:val="center"/>
        <w:rPr>
          <w:sz w:val="26"/>
        </w:rPr>
      </w:pPr>
      <w:r>
        <w:rPr>
          <w:b/>
          <w:sz w:val="26"/>
        </w:rPr>
        <w:t xml:space="preserve"> </w:t>
      </w:r>
      <w:r>
        <w:rPr>
          <w:b/>
          <w:sz w:val="26"/>
        </w:rPr>
        <w:t>RESPONSES OF THE CALIFORNIA PARTIES TO DUKE ENERGY’S SECOND SET OF DATA REQUESTS</w:t>
      </w:r>
    </w:p>
    <w:p>
      <w:pPr>
        <w:pStyle w:val="BodyText"/>
        <w:ind w:hanging="0" w:end="0"/>
        <w:rPr>
          <w:sz w:val="26"/>
        </w:rPr>
      </w:pPr>
      <w:r>
        <w:rPr>
          <w:sz w:val="26"/>
        </w:rPr>
        <w:t>To the extent not already provided in the responsive testimony and exhibits filed by the California Parties on November 6, 2001, please provide the following information.   If the requested information has been provided, please so state and indicate where in the responsive testimony and exhibits of the California Parties that it can be found.</w:t>
      </w:r>
    </w:p>
    <w:p>
      <w:pPr>
        <w:pStyle w:val="BodyText"/>
        <w:numPr>
          <w:ilvl w:val="0"/>
          <w:numId w:val="12"/>
        </w:numPr>
        <w:rPr>
          <w:sz w:val="26"/>
        </w:rPr>
      </w:pPr>
      <w:r>
        <w:rPr>
          <w:sz w:val="26"/>
        </w:rPr>
        <w:t>The names of the individuals who prepared the models and/or spreadsheets requested in No. 2 and/or No. 5 [</w:t>
      </w:r>
      <w:r>
        <w:rPr>
          <w:i/>
          <w:sz w:val="26"/>
        </w:rPr>
        <w:t>sic</w:t>
      </w:r>
      <w:r>
        <w:rPr>
          <w:sz w:val="26"/>
        </w:rPr>
        <w:t>], if not Dr. Stern.</w:t>
      </w:r>
    </w:p>
    <w:p>
      <w:pPr>
        <w:pStyle w:val="Normal"/>
        <w:tabs>
          <w:tab w:val="clear" w:pos="720"/>
          <w:tab w:val="left" w:pos="1440" w:leader="none"/>
        </w:tabs>
        <w:rPr>
          <w:b/>
          <w:sz w:val="26"/>
        </w:rPr>
      </w:pPr>
      <w:r>
        <w:rPr>
          <w:b/>
          <w:sz w:val="26"/>
        </w:rPr>
        <w:t>Response:</w:t>
      </w:r>
    </w:p>
    <w:p>
      <w:pPr>
        <w:pStyle w:val="Normal"/>
        <w:tabs>
          <w:tab w:val="clear" w:pos="720"/>
          <w:tab w:val="left" w:pos="1440" w:leader="none"/>
        </w:tabs>
        <w:rPr>
          <w:b/>
          <w:sz w:val="26"/>
        </w:rPr>
      </w:pPr>
      <w:r>
        <w:rPr>
          <w:b/>
          <w:sz w:val="26"/>
        </w:rPr>
      </w:r>
    </w:p>
    <w:p>
      <w:pPr>
        <w:pStyle w:val="BodyTextIndent"/>
        <w:tabs>
          <w:tab w:val="left" w:pos="720" w:leader="none"/>
          <w:tab w:val="left" w:pos="1440" w:leader="none"/>
        </w:tabs>
        <w:ind w:hanging="720" w:start="720" w:end="0"/>
        <w:rPr>
          <w:rFonts w:ascii="Times New Roman" w:hAnsi="Times New Roman" w:cs="Times New Roman"/>
          <w:sz w:val="26"/>
        </w:rPr>
      </w:pPr>
      <w:r>
        <w:rPr>
          <w:rFonts w:cs="Times New Roman" w:ascii="Times New Roman" w:hAnsi="Times New Roman"/>
          <w:sz w:val="26"/>
        </w:rPr>
        <w:tab/>
        <w:t>Dr. Stern, together with Jeffrey Nelson and Joseph Yan.</w:t>
      </w:r>
    </w:p>
    <w:p>
      <w:pPr>
        <w:pStyle w:val="BodyTextIndent"/>
        <w:tabs>
          <w:tab w:val="left" w:pos="720" w:leader="none"/>
          <w:tab w:val="left" w:pos="1440" w:leader="none"/>
        </w:tabs>
        <w:ind w:hanging="720" w:start="720" w:end="0"/>
        <w:rPr>
          <w:rFonts w:ascii="Times New Roman" w:hAnsi="Times New Roman" w:cs="Times New Roman"/>
          <w:sz w:val="26"/>
        </w:rPr>
      </w:pPr>
      <w:r>
        <w:rPr>
          <w:rFonts w:cs="Times New Roman" w:ascii="Times New Roman" w:hAnsi="Times New Roman"/>
          <w:sz w:val="26"/>
        </w:rPr>
      </w:r>
    </w:p>
    <w:p>
      <w:pPr>
        <w:pStyle w:val="BodyText"/>
        <w:rPr>
          <w:b/>
          <w:sz w:val="26"/>
        </w:rPr>
      </w:pPr>
      <w:r>
        <w:rPr>
          <w:sz w:val="26"/>
        </w:rPr>
        <w:t>Response Prepared by Dr. Gary A. Stern</w:t>
      </w:r>
    </w:p>
    <w:p>
      <w:pPr>
        <w:pStyle w:val="BodyText"/>
        <w:ind w:hanging="0" w:end="0"/>
        <w:jc w:val="center"/>
        <w:rPr>
          <w:b/>
          <w:sz w:val="26"/>
        </w:rPr>
      </w:pPr>
      <w:r>
        <w:rPr>
          <w:b/>
          <w:sz w:val="26"/>
        </w:rPr>
      </w:r>
      <w:r>
        <w:br w:type="page"/>
      </w:r>
    </w:p>
    <w:p>
      <w:pPr>
        <w:pStyle w:val="BodyText"/>
        <w:ind w:hanging="0" w:end="0"/>
        <w:jc w:val="center"/>
        <w:rPr>
          <w:b/>
          <w:sz w:val="26"/>
        </w:rPr>
      </w:pPr>
      <w:r>
        <w:rPr>
          <w:b/>
          <w:sz w:val="26"/>
        </w:rPr>
        <w:tab/>
        <w:t>RESPONSES OF THE CALIFORNIA PARTIES TO DUKE ENERGY’S SECOND SET OF DATA REQUESTS</w:t>
      </w:r>
    </w:p>
    <w:p>
      <w:pPr>
        <w:pStyle w:val="BodyText"/>
        <w:ind w:hanging="0" w:end="0"/>
        <w:rPr>
          <w:b/>
          <w:sz w:val="26"/>
        </w:rPr>
      </w:pPr>
      <w:r>
        <w:rPr>
          <w:sz w:val="26"/>
        </w:rPr>
        <w:t>To the extent not already provided in the responsive testimony and exhibits filed by the California Parties on November 6, 2001, please provide the following information.   If the requested information has been provided, please so state and indicate where in the responsive testimony and exhibits of the California Parties that it can be found.</w:t>
      </w:r>
    </w:p>
    <w:p>
      <w:pPr>
        <w:pStyle w:val="BodyText"/>
        <w:numPr>
          <w:ilvl w:val="0"/>
          <w:numId w:val="12"/>
        </w:numPr>
        <w:rPr>
          <w:sz w:val="26"/>
        </w:rPr>
      </w:pPr>
      <w:r>
        <w:rPr>
          <w:sz w:val="26"/>
        </w:rPr>
        <w:t>Copies of any data, calculations, reports, spreadsheets analyses, computer programs, or other documents prepared by, or at the direction of, Dr. Carolyn Berry that were reviewed by Dr. Stern, to include any annotations, comments, or endorsements thereto that were made by Dr. Stern.</w:t>
      </w:r>
    </w:p>
    <w:p>
      <w:pPr>
        <w:pStyle w:val="Normal"/>
        <w:tabs>
          <w:tab w:val="clear" w:pos="720"/>
          <w:tab w:val="left" w:pos="1440" w:leader="none"/>
        </w:tabs>
        <w:rPr>
          <w:b/>
          <w:sz w:val="26"/>
        </w:rPr>
      </w:pPr>
      <w:r>
        <w:rPr>
          <w:b/>
          <w:sz w:val="26"/>
        </w:rPr>
        <w:t>Response:</w:t>
      </w:r>
    </w:p>
    <w:p>
      <w:pPr>
        <w:pStyle w:val="Normal"/>
        <w:tabs>
          <w:tab w:val="clear" w:pos="720"/>
          <w:tab w:val="left" w:pos="1440" w:leader="none"/>
        </w:tabs>
        <w:rPr>
          <w:b/>
          <w:sz w:val="26"/>
        </w:rPr>
      </w:pPr>
      <w:r>
        <w:rPr>
          <w:b/>
          <w:sz w:val="26"/>
        </w:rPr>
      </w:r>
    </w:p>
    <w:p>
      <w:pPr>
        <w:pStyle w:val="BodyText"/>
        <w:rPr>
          <w:sz w:val="26"/>
        </w:rPr>
      </w:pPr>
      <w:r>
        <w:rPr>
          <w:sz w:val="26"/>
        </w:rPr>
        <w:t>None.</w:t>
      </w:r>
    </w:p>
    <w:p>
      <w:pPr>
        <w:pStyle w:val="BodyText"/>
        <w:rPr>
          <w:sz w:val="26"/>
        </w:rPr>
      </w:pPr>
      <w:r>
        <w:rPr>
          <w:sz w:val="26"/>
        </w:rPr>
        <w:t>Response Prepared by Dr. Gary A. Stern</w:t>
      </w:r>
      <w:r>
        <w:br w:type="page"/>
      </w:r>
    </w:p>
    <w:p>
      <w:pPr>
        <w:pStyle w:val="BodyText"/>
        <w:jc w:val="center"/>
        <w:rPr>
          <w:rFonts w:ascii="Times New Roman Bold;Times New Roman" w:hAnsi="Times New Roman Bold;Times New Roman" w:cs="Times New Roman Bold;Times New Roman"/>
          <w:b/>
          <w:sz w:val="26"/>
        </w:rPr>
      </w:pPr>
      <w:r>
        <w:rPr>
          <w:rFonts w:cs="Times New Roman Bold;Times New Roman" w:ascii="Times New Roman Bold;Times New Roman" w:hAnsi="Times New Roman Bold;Times New Roman"/>
          <w:b/>
          <w:sz w:val="26"/>
        </w:rPr>
        <w:t>RESPONSES OF THE CALIFORNIA PARTIES TO DUKE ENERGY’S SECOND SET OF DATA REQUESTS</w:t>
      </w:r>
    </w:p>
    <w:p>
      <w:pPr>
        <w:pStyle w:val="BodyText"/>
        <w:ind w:hanging="345" w:start="720" w:end="0"/>
        <w:rPr>
          <w:sz w:val="26"/>
        </w:rPr>
      </w:pPr>
      <w:r>
        <w:rPr>
          <w:sz w:val="26"/>
        </w:rPr>
        <w:t>15.Please provide electronic copies of any sworn testimony and/or statement previously given by Dr. Stern or Dr. Berry.  If an electronic copy is not available, please provide a hard copy.  This request includes, but is not limited to:</w:t>
      </w:r>
    </w:p>
    <w:p>
      <w:pPr>
        <w:pStyle w:val="BodyText"/>
        <w:rPr>
          <w:sz w:val="26"/>
        </w:rPr>
      </w:pPr>
      <w:r>
        <w:rPr>
          <w:sz w:val="26"/>
        </w:rPr>
        <w:t xml:space="preserve">a. </w:t>
        <w:tab/>
        <w:t>Any prefiled testimony before the Federal Energy Regulatory Commission, or any other regulatory commission.</w:t>
      </w:r>
    </w:p>
    <w:p>
      <w:pPr>
        <w:pStyle w:val="BodyText"/>
        <w:rPr>
          <w:sz w:val="26"/>
        </w:rPr>
      </w:pPr>
      <w:r>
        <w:rPr>
          <w:sz w:val="26"/>
        </w:rPr>
        <w:t>b.</w:t>
        <w:tab/>
        <w:t>Any transcripts of any judicial and/or administrative hearings and/or trials in which Dr. Stern or Dr. Berry has appeared as a witness.</w:t>
      </w:r>
    </w:p>
    <w:p>
      <w:pPr>
        <w:pStyle w:val="BodyText"/>
        <w:rPr>
          <w:sz w:val="26"/>
        </w:rPr>
      </w:pPr>
      <w:r>
        <w:rPr>
          <w:sz w:val="26"/>
        </w:rPr>
        <w:t>c.</w:t>
        <w:tab/>
        <w:t>Any transcripts of depositions.</w:t>
      </w:r>
    </w:p>
    <w:p>
      <w:pPr>
        <w:pStyle w:val="BodyText"/>
        <w:rPr>
          <w:sz w:val="26"/>
        </w:rPr>
      </w:pPr>
      <w:r>
        <w:rPr>
          <w:sz w:val="26"/>
        </w:rPr>
        <w:t>d.</w:t>
        <w:tab/>
        <w:t>Any sworn testimony, statements and/or affidavits in any other forum not mentioned above.</w:t>
      </w:r>
    </w:p>
    <w:p>
      <w:pPr>
        <w:pStyle w:val="BodyText"/>
        <w:rPr>
          <w:b/>
          <w:sz w:val="26"/>
        </w:rPr>
      </w:pPr>
      <w:r>
        <w:rPr>
          <w:b/>
          <w:sz w:val="26"/>
        </w:rPr>
        <w:t>Response:</w:t>
      </w:r>
    </w:p>
    <w:p>
      <w:pPr>
        <w:pStyle w:val="BodyText"/>
        <w:rPr>
          <w:sz w:val="26"/>
        </w:rPr>
      </w:pPr>
      <w:r>
        <w:rPr>
          <w:sz w:val="26"/>
        </w:rPr>
        <w:t xml:space="preserve">15(a)-(d)  Please see attached information for Dr. Berry.   </w:t>
      </w:r>
    </w:p>
    <w:p>
      <w:pPr>
        <w:pStyle w:val="BodyText"/>
        <w:rPr>
          <w:sz w:val="26"/>
        </w:rPr>
      </w:pPr>
      <w:r>
        <w:rPr>
          <w:sz w:val="26"/>
        </w:rPr>
        <w:t>Response Prepared by Dr. Carolyn A. Berry</w:t>
      </w:r>
      <w:r>
        <w:br w:type="page"/>
      </w:r>
    </w:p>
    <w:p>
      <w:pPr>
        <w:pStyle w:val="BodyText"/>
        <w:jc w:val="center"/>
        <w:rPr>
          <w:rFonts w:ascii="Times New Roman Bold;Times New Roman" w:hAnsi="Times New Roman Bold;Times New Roman" w:cs="Times New Roman Bold;Times New Roman"/>
          <w:b/>
          <w:sz w:val="26"/>
        </w:rPr>
      </w:pPr>
      <w:r>
        <w:rPr>
          <w:rFonts w:cs="Times New Roman Bold;Times New Roman" w:ascii="Times New Roman Bold;Times New Roman" w:hAnsi="Times New Roman Bold;Times New Roman"/>
          <w:b/>
          <w:sz w:val="26"/>
        </w:rPr>
        <w:t>RESPONSES OF THE CALIFORNIA PARTIES TO DUKE ENERGY’S SECOND SET OF DATA REQUESTS</w:t>
      </w:r>
    </w:p>
    <w:p>
      <w:pPr>
        <w:pStyle w:val="BodyText"/>
        <w:ind w:hanging="345" w:start="720" w:end="0"/>
        <w:rPr>
          <w:sz w:val="26"/>
        </w:rPr>
      </w:pPr>
      <w:r>
        <w:rPr>
          <w:sz w:val="26"/>
        </w:rPr>
        <w:t>16.Please provide citations to, and copies of, any article, speech, presentation, or publication authored, written, and/or delivered by Dr. Stern or Dr. Berry.</w:t>
      </w:r>
    </w:p>
    <w:p>
      <w:pPr>
        <w:pStyle w:val="BodyText"/>
        <w:rPr>
          <w:b/>
          <w:sz w:val="26"/>
        </w:rPr>
      </w:pPr>
      <w:r>
        <w:rPr>
          <w:b/>
          <w:sz w:val="26"/>
        </w:rPr>
        <w:t>Response:</w:t>
      </w:r>
    </w:p>
    <w:p>
      <w:pPr>
        <w:pStyle w:val="BodyText"/>
        <w:rPr>
          <w:sz w:val="26"/>
        </w:rPr>
      </w:pPr>
      <w:r>
        <w:rPr>
          <w:sz w:val="26"/>
        </w:rPr>
        <w:t xml:space="preserve">Please see attached information for Dr. Berry.   </w:t>
      </w:r>
    </w:p>
    <w:p>
      <w:pPr>
        <w:pStyle w:val="BodyText"/>
        <w:spacing w:before="0" w:after="240"/>
        <w:ind w:hanging="0" w:start="720" w:end="0"/>
        <w:rPr>
          <w:sz w:val="26"/>
        </w:rPr>
      </w:pPr>
      <w:r>
        <w:rPr>
          <w:sz w:val="26"/>
        </w:rPr>
        <w:t>Response Prepared by Dr. Carolyn A. Berry</w:t>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NewCenturySchlbk">
    <w:altName w:val="Century Schoolbook"/>
    <w:charset w:val="00" w:characterSet="windows-1252"/>
    <w:family w:val="roman"/>
    <w:pitch w:val="variable"/>
  </w:font>
  <w:font w:name="Tahoma">
    <w:charset w:val="00" w:characterSet="windows-1252"/>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snapToGrid w:val="false"/>
            <w:rPr/>
          </w:pPr>
          <w:r>
            <w:rPr/>
          </w:r>
        </w:p>
      </w:tc>
      <w:tc>
        <w:tcPr>
          <w:tcW w:w="3192" w:type="dxa"/>
          <w:tcBorders/>
        </w:tcPr>
        <w:p>
          <w:pPr>
            <w:pStyle w:val="Footer"/>
            <w:tabs>
              <w:tab w:val="clear" w:pos="4680"/>
              <w:tab w:val="clear" w:pos="9360"/>
            </w:tabs>
            <w:snapToGrid w:val="false"/>
            <w:jc w:val="center"/>
            <w:rPr/>
          </w:pPr>
          <w:r>
            <w:rPr/>
          </w:r>
        </w:p>
      </w:tc>
      <w:tc>
        <w:tcPr>
          <w:tcW w:w="3192" w:type="dxa"/>
          <w:tcBorders/>
        </w:tcPr>
        <w:p>
          <w:pPr>
            <w:pStyle w:val="Footer"/>
            <w:tabs>
              <w:tab w:val="clear" w:pos="4680"/>
              <w:tab w:val="clear" w:pos="9360"/>
            </w:tabs>
            <w:snapToGrid w:val="false"/>
            <w:jc w:val="end"/>
            <w:rPr/>
          </w:pPr>
          <w:r>
            <w:rPr/>
          </w:r>
        </w:p>
      </w:tc>
    </w:tr>
  </w:tbl>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snapToGrid w:val="false"/>
            <w:rPr/>
          </w:pPr>
          <w:r>
            <w:rPr/>
          </w:r>
        </w:p>
      </w:tc>
      <w:tc>
        <w:tcPr>
          <w:tcW w:w="3192" w:type="dxa"/>
          <w:tcBorders/>
        </w:tcPr>
        <w:p>
          <w:pPr>
            <w:pStyle w:val="Footer"/>
            <w:tabs>
              <w:tab w:val="clear" w:pos="4680"/>
              <w:tab w:val="clear" w:pos="9360"/>
            </w:tabs>
            <w:snapToGrid w:val="false"/>
            <w:jc w:val="center"/>
            <w:rPr/>
          </w:pPr>
          <w:r>
            <w:rPr/>
          </w:r>
        </w:p>
      </w:tc>
      <w:tc>
        <w:tcPr>
          <w:tcW w:w="3192" w:type="dxa"/>
          <w:tcBorders/>
        </w:tcPr>
        <w:p>
          <w:pPr>
            <w:pStyle w:val="Footer"/>
            <w:tabs>
              <w:tab w:val="clear" w:pos="4680"/>
              <w:tab w:val="clear" w:pos="9360"/>
            </w:tabs>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snapToGrid w:val="false"/>
            <w:rPr/>
          </w:pPr>
          <w:r>
            <w:rPr/>
          </w:r>
        </w:p>
      </w:tc>
      <w:tc>
        <w:tcPr>
          <w:tcW w:w="3192" w:type="dxa"/>
          <w:tcBorders/>
        </w:tcPr>
        <w:p>
          <w:pPr>
            <w:pStyle w:val="Footer"/>
            <w:tabs>
              <w:tab w:val="clear" w:pos="4680"/>
              <w:tab w:val="clear" w:pos="9360"/>
            </w:tabs>
            <w:snapToGrid w:val="false"/>
            <w:jc w:val="center"/>
            <w:rPr/>
          </w:pPr>
          <w:r>
            <w:rPr/>
          </w:r>
        </w:p>
      </w:tc>
      <w:tc>
        <w:tcPr>
          <w:tcW w:w="3192" w:type="dxa"/>
          <w:tcBorders/>
        </w:tcPr>
        <w:p>
          <w:pPr>
            <w:pStyle w:val="Footer"/>
            <w:tabs>
              <w:tab w:val="clear" w:pos="4680"/>
              <w:tab w:val="clear" w:pos="9360"/>
            </w:tabs>
            <w:snapToGrid w:val="false"/>
            <w:jc w:val="end"/>
            <w:rPr/>
          </w:pPr>
          <w:r>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snapToGrid w:val="false"/>
            <w:rPr/>
          </w:pPr>
          <w:r>
            <w:rPr/>
          </w:r>
        </w:p>
      </w:tc>
      <w:tc>
        <w:tcPr>
          <w:tcW w:w="3192" w:type="dxa"/>
          <w:tcBorders/>
        </w:tcPr>
        <w:p>
          <w:pPr>
            <w:pStyle w:val="Footer"/>
            <w:tabs>
              <w:tab w:val="clear" w:pos="4680"/>
              <w:tab w:val="clear" w:pos="9360"/>
            </w:tabs>
            <w:snapToGrid w:val="false"/>
            <w:jc w:val="center"/>
            <w:rPr/>
          </w:pPr>
          <w:r>
            <w:rPr/>
          </w:r>
        </w:p>
      </w:tc>
      <w:tc>
        <w:tcPr>
          <w:tcW w:w="3192" w:type="dxa"/>
          <w:tcBorders/>
        </w:tcPr>
        <w:p>
          <w:pPr>
            <w:pStyle w:val="Footer"/>
            <w:tabs>
              <w:tab w:val="clear" w:pos="4680"/>
              <w:tab w:val="clear" w:pos="9360"/>
            </w:tabs>
            <w:snapToGrid w:val="false"/>
            <w:jc w:val="end"/>
            <w:rPr/>
          </w:pPr>
          <w:r>
            <w:rPr/>
          </w:r>
        </w:p>
      </w:tc>
    </w:tr>
  </w:tbl>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snapToGrid w:val="false"/>
            <w:rPr/>
          </w:pPr>
          <w:r>
            <w:rPr/>
          </w:r>
        </w:p>
      </w:tc>
      <w:tc>
        <w:tcPr>
          <w:tcW w:w="3192" w:type="dxa"/>
          <w:tcBorders/>
        </w:tcPr>
        <w:p>
          <w:pPr>
            <w:pStyle w:val="Footer"/>
            <w:tabs>
              <w:tab w:val="clear" w:pos="4680"/>
              <w:tab w:val="clear" w:pos="9360"/>
            </w:tabs>
            <w:snapToGrid w:val="false"/>
            <w:jc w:val="center"/>
            <w:rPr/>
          </w:pPr>
          <w:r>
            <w:rPr/>
          </w:r>
        </w:p>
      </w:tc>
      <w:tc>
        <w:tcPr>
          <w:tcW w:w="3192" w:type="dxa"/>
          <w:tcBorders/>
        </w:tcPr>
        <w:p>
          <w:pPr>
            <w:pStyle w:val="Footer"/>
            <w:tabs>
              <w:tab w:val="clear" w:pos="4680"/>
              <w:tab w:val="clear" w:pos="9360"/>
            </w:tabs>
            <w:snapToGrid w:val="false"/>
            <w:jc w:val="end"/>
            <w:rPr/>
          </w:pPr>
          <w:r>
            <w:rPr/>
          </w:r>
        </w:p>
      </w:tc>
    </w:tr>
  </w:tbl>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snapToGrid w:val="false"/>
            <w:rPr/>
          </w:pPr>
          <w:r>
            <w:rPr/>
          </w:r>
        </w:p>
      </w:tc>
      <w:tc>
        <w:tcPr>
          <w:tcW w:w="3192" w:type="dxa"/>
          <w:tcBorders/>
        </w:tcPr>
        <w:p>
          <w:pPr>
            <w:pStyle w:val="Footer"/>
            <w:tabs>
              <w:tab w:val="clear" w:pos="4680"/>
              <w:tab w:val="clear" w:pos="9360"/>
            </w:tabs>
            <w:snapToGrid w:val="false"/>
            <w:jc w:val="center"/>
            <w:rPr/>
          </w:pPr>
          <w:r>
            <w:rPr/>
          </w:r>
        </w:p>
      </w:tc>
      <w:tc>
        <w:tcPr>
          <w:tcW w:w="3192" w:type="dxa"/>
          <w:tcBorders/>
        </w:tcPr>
        <w:p>
          <w:pPr>
            <w:pStyle w:val="Footer"/>
            <w:tabs>
              <w:tab w:val="clear" w:pos="4680"/>
              <w:tab w:val="clear" w:pos="9360"/>
            </w:tabs>
            <w:snapToGrid w:val="false"/>
            <w:jc w:val="end"/>
            <w:rPr/>
          </w:pPr>
          <w:r>
            <w:rPr/>
          </w:r>
        </w:p>
      </w:tc>
    </w:tr>
  </w:tbl>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snapToGrid w:val="false"/>
            <w:rPr/>
          </w:pPr>
          <w:r>
            <w:rPr/>
          </w:r>
        </w:p>
      </w:tc>
      <w:tc>
        <w:tcPr>
          <w:tcW w:w="3192" w:type="dxa"/>
          <w:tcBorders/>
        </w:tcPr>
        <w:p>
          <w:pPr>
            <w:pStyle w:val="Footer"/>
            <w:tabs>
              <w:tab w:val="clear" w:pos="4680"/>
              <w:tab w:val="clear" w:pos="9360"/>
            </w:tabs>
            <w:snapToGrid w:val="false"/>
            <w:jc w:val="center"/>
            <w:rPr/>
          </w:pPr>
          <w:r>
            <w:rPr/>
          </w:r>
        </w:p>
      </w:tc>
      <w:tc>
        <w:tcPr>
          <w:tcW w:w="3192" w:type="dxa"/>
          <w:tcBorders/>
        </w:tcPr>
        <w:p>
          <w:pPr>
            <w:pStyle w:val="Footer"/>
            <w:tabs>
              <w:tab w:val="clear" w:pos="4680"/>
              <w:tab w:val="clear" w:pos="9360"/>
            </w:tabs>
            <w:snapToGrid w:val="false"/>
            <w:jc w:val="end"/>
            <w:rPr/>
          </w:pPr>
          <w:r>
            <w:rPr/>
          </w:r>
        </w:p>
      </w:tc>
    </w:tr>
  </w:tbl>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snapToGrid w:val="false"/>
            <w:rPr/>
          </w:pPr>
          <w:r>
            <w:rPr/>
          </w:r>
        </w:p>
      </w:tc>
      <w:tc>
        <w:tcPr>
          <w:tcW w:w="3192" w:type="dxa"/>
          <w:tcBorders/>
        </w:tcPr>
        <w:p>
          <w:pPr>
            <w:pStyle w:val="Footer"/>
            <w:tabs>
              <w:tab w:val="clear" w:pos="4680"/>
              <w:tab w:val="clear" w:pos="9360"/>
            </w:tabs>
            <w:snapToGrid w:val="false"/>
            <w:jc w:val="center"/>
            <w:rPr/>
          </w:pPr>
          <w:r>
            <w:rPr/>
          </w:r>
        </w:p>
      </w:tc>
      <w:tc>
        <w:tcPr>
          <w:tcW w:w="3192" w:type="dxa"/>
          <w:tcBorders/>
        </w:tcPr>
        <w:p>
          <w:pPr>
            <w:pStyle w:val="Footer"/>
            <w:tabs>
              <w:tab w:val="clear" w:pos="4680"/>
              <w:tab w:val="clear" w:pos="9360"/>
            </w:tabs>
            <w:snapToGrid w:val="false"/>
            <w:jc w:val="end"/>
            <w:rPr/>
          </w:pPr>
          <w:r>
            <w:rPr/>
          </w:r>
        </w:p>
      </w:tc>
    </w:tr>
  </w:tbl>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snapToGrid w:val="false"/>
            <w:rPr/>
          </w:pPr>
          <w:r>
            <w:rPr/>
          </w:r>
        </w:p>
      </w:tc>
      <w:tc>
        <w:tcPr>
          <w:tcW w:w="3192" w:type="dxa"/>
          <w:tcBorders/>
        </w:tcPr>
        <w:p>
          <w:pPr>
            <w:pStyle w:val="Footer"/>
            <w:tabs>
              <w:tab w:val="clear" w:pos="4680"/>
              <w:tab w:val="clear" w:pos="9360"/>
            </w:tabs>
            <w:snapToGrid w:val="false"/>
            <w:jc w:val="center"/>
            <w:rPr/>
          </w:pPr>
          <w:r>
            <w:rPr/>
          </w:r>
        </w:p>
      </w:tc>
      <w:tc>
        <w:tcPr>
          <w:tcW w:w="3192" w:type="dxa"/>
          <w:tcBorders/>
        </w:tcPr>
        <w:p>
          <w:pPr>
            <w:pStyle w:val="Footer"/>
            <w:tabs>
              <w:tab w:val="clear" w:pos="4680"/>
              <w:tab w:val="clear" w:pos="9360"/>
            </w:tabs>
            <w:snapToGrid w:val="false"/>
            <w:jc w:val="end"/>
            <w:rPr/>
          </w:pPr>
          <w:r>
            <w:rPr/>
          </w:r>
        </w:p>
      </w:tc>
    </w:tr>
  </w:tbl>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snapToGrid w:val="false"/>
            <w:rPr/>
          </w:pPr>
          <w:r>
            <w:rPr/>
          </w:r>
        </w:p>
      </w:tc>
      <w:tc>
        <w:tcPr>
          <w:tcW w:w="3192" w:type="dxa"/>
          <w:tcBorders/>
        </w:tcPr>
        <w:p>
          <w:pPr>
            <w:pStyle w:val="Footer"/>
            <w:tabs>
              <w:tab w:val="clear" w:pos="4680"/>
              <w:tab w:val="clear" w:pos="9360"/>
            </w:tabs>
            <w:snapToGrid w:val="false"/>
            <w:jc w:val="center"/>
            <w:rPr/>
          </w:pPr>
          <w:r>
            <w:rPr/>
          </w:r>
        </w:p>
      </w:tc>
      <w:tc>
        <w:tcPr>
          <w:tcW w:w="3192" w:type="dxa"/>
          <w:tcBorders/>
        </w:tcPr>
        <w:p>
          <w:pPr>
            <w:pStyle w:val="Footer"/>
            <w:tabs>
              <w:tab w:val="clear" w:pos="4680"/>
              <w:tab w:val="clear" w:pos="9360"/>
            </w:tabs>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pStyle w:val="Heading2"/>
      <w:numFmt w:val="decimal"/>
      <w:lvlText w:val="%2."/>
      <w:lvlJc w:val="start"/>
      <w:pPr>
        <w:tabs>
          <w:tab w:val="num" w:pos="1080"/>
        </w:tabs>
        <w:ind w:start="1080" w:hanging="360"/>
      </w:pPr>
    </w:lvl>
    <w:lvl w:ilvl="2">
      <w:start w:val="1"/>
      <w:pStyle w:val="Heading3"/>
      <w:numFmt w:val="decimal"/>
      <w:lvlText w:val="%3."/>
      <w:lvlJc w:val="start"/>
      <w:pPr>
        <w:tabs>
          <w:tab w:val="num" w:pos="1440"/>
        </w:tabs>
        <w:ind w:start="1440" w:hanging="360"/>
      </w:pPr>
    </w:lvl>
    <w:lvl w:ilvl="3">
      <w:start w:val="1"/>
      <w:pStyle w:val="Heading4"/>
      <w:numFmt w:val="decimal"/>
      <w:lvlText w:val="%4."/>
      <w:lvlJc w:val="start"/>
      <w:pPr>
        <w:tabs>
          <w:tab w:val="num" w:pos="1800"/>
        </w:tabs>
        <w:ind w:start="1800" w:hanging="360"/>
      </w:pPr>
    </w:lvl>
    <w:lvl w:ilvl="4">
      <w:start w:val="1"/>
      <w:pStyle w:val="Heading5"/>
      <w:numFmt w:val="decimal"/>
      <w:lvlText w:val="%5."/>
      <w:lvlJc w:val="start"/>
      <w:pPr>
        <w:tabs>
          <w:tab w:val="num" w:pos="2160"/>
        </w:tabs>
        <w:ind w:start="2160" w:hanging="360"/>
      </w:pPr>
    </w:lvl>
    <w:lvl w:ilvl="5">
      <w:start w:val="1"/>
      <w:pStyle w:val="Heading6"/>
      <w:numFmt w:val="decimal"/>
      <w:lvlText w:val="%6."/>
      <w:lvlJc w:val="start"/>
      <w:pPr>
        <w:tabs>
          <w:tab w:val="num" w:pos="2520"/>
        </w:tabs>
        <w:ind w:start="2520" w:hanging="360"/>
      </w:pPr>
    </w:lvl>
    <w:lvl w:ilvl="6">
      <w:start w:val="1"/>
      <w:pStyle w:val="Heading7"/>
      <w:numFmt w:val="decimal"/>
      <w:lvlText w:val="%7."/>
      <w:lvlJc w:val="start"/>
      <w:pPr>
        <w:tabs>
          <w:tab w:val="num" w:pos="2880"/>
        </w:tabs>
        <w:ind w:start="2880" w:hanging="360"/>
      </w:pPr>
    </w:lvl>
    <w:lvl w:ilvl="7">
      <w:start w:val="1"/>
      <w:pStyle w:val="Heading8"/>
      <w:numFmt w:val="decimal"/>
      <w:lvlText w:val="%8."/>
      <w:lvlJc w:val="start"/>
      <w:pPr>
        <w:tabs>
          <w:tab w:val="num" w:pos="3240"/>
        </w:tabs>
        <w:ind w:start="3240" w:hanging="360"/>
      </w:pPr>
    </w:lvl>
    <w:lvl w:ilvl="8">
      <w:start w:val="1"/>
      <w:pStyle w:val="Heading9"/>
      <w:numFmt w:val="decimal"/>
      <w:lvlText w:val="%9."/>
      <w:lvlJc w:val="start"/>
      <w:pPr>
        <w:tabs>
          <w:tab w:val="num" w:pos="3600"/>
        </w:tabs>
        <w:ind w:start="3600" w:hanging="36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5"/>
      <w:numFmt w:val="lowerRoman"/>
      <w:lvlText w:val="%1."/>
      <w:lvlJc w:val="start"/>
      <w:pPr>
        <w:tabs>
          <w:tab w:val="num" w:pos="2160"/>
        </w:tabs>
        <w:ind w:start="2160" w:hanging="2160"/>
      </w:pPr>
    </w:lvl>
    <w:lvl w:ilvl="1">
      <w:start w:val="1"/>
      <w:numFmt w:val="lowerRoman"/>
      <w:lvlText w:val="%2."/>
      <w:lvlJc w:val="start"/>
      <w:pPr>
        <w:tabs>
          <w:tab w:val="num" w:pos="2160"/>
        </w:tabs>
        <w:ind w:start="4320" w:hanging="2160"/>
      </w:pPr>
    </w:lvl>
    <w:lvl w:ilvl="2">
      <w:start w:val="1"/>
      <w:numFmt w:val="lowerRoman"/>
      <w:lvlText w:val="%3."/>
      <w:lvlJc w:val="start"/>
      <w:pPr>
        <w:tabs>
          <w:tab w:val="num" w:pos="2160"/>
        </w:tabs>
        <w:ind w:start="6480" w:hanging="2160"/>
      </w:pPr>
    </w:lvl>
    <w:lvl w:ilvl="3">
      <w:start w:val="1"/>
      <w:numFmt w:val="lowerRoman"/>
      <w:lvlText w:val="%4."/>
      <w:lvlJc w:val="start"/>
      <w:pPr>
        <w:tabs>
          <w:tab w:val="num" w:pos="2160"/>
        </w:tabs>
        <w:ind w:start="8640" w:hanging="2160"/>
      </w:pPr>
    </w:lvl>
    <w:lvl w:ilvl="4">
      <w:start w:val="1"/>
      <w:numFmt w:val="lowerRoman"/>
      <w:lvlText w:val="%5."/>
      <w:lvlJc w:val="start"/>
      <w:pPr>
        <w:tabs>
          <w:tab w:val="num" w:pos="2160"/>
        </w:tabs>
        <w:ind w:start="10800" w:hanging="2160"/>
      </w:pPr>
    </w:lvl>
    <w:lvl w:ilvl="5">
      <w:start w:val="1"/>
      <w:numFmt w:val="lowerRoman"/>
      <w:lvlText w:val="%6."/>
      <w:lvlJc w:val="start"/>
      <w:pPr>
        <w:tabs>
          <w:tab w:val="num" w:pos="2160"/>
        </w:tabs>
        <w:ind w:start="12960" w:hanging="2160"/>
      </w:pPr>
    </w:lvl>
    <w:lvl w:ilvl="6">
      <w:start w:val="1"/>
      <w:numFmt w:val="lowerRoman"/>
      <w:lvlText w:val="%7."/>
      <w:lvlJc w:val="start"/>
      <w:pPr>
        <w:tabs>
          <w:tab w:val="num" w:pos="2160"/>
        </w:tabs>
        <w:ind w:start="15120" w:hanging="2160"/>
      </w:pPr>
    </w:lvl>
    <w:lvl w:ilvl="7">
      <w:start w:val="1"/>
      <w:numFmt w:val="lowerRoman"/>
      <w:lvlText w:val="%8."/>
      <w:lvlJc w:val="start"/>
      <w:pPr>
        <w:tabs>
          <w:tab w:val="num" w:pos="2160"/>
        </w:tabs>
        <w:ind w:start="17280" w:hanging="2160"/>
      </w:pPr>
    </w:lvl>
    <w:lvl w:ilvl="8">
      <w:start w:val="1"/>
      <w:numFmt w:val="lowerRoman"/>
      <w:lvlText w:val="%9"/>
      <w:lvlJc w:val="start"/>
      <w:pPr>
        <w:tabs>
          <w:tab w:val="num" w:pos="2160"/>
        </w:tabs>
        <w:ind w:start="19440" w:hanging="2160"/>
      </w:pPr>
    </w:lvl>
  </w:abstractNum>
  <w:abstractNum w:abstractNumId="11">
    <w:lvl w:ilvl="0">
      <w:start w:val="1"/>
      <w:numFmt w:val="decimal"/>
      <w:lvlText w:val="%1."/>
      <w:lvlJc w:val="start"/>
      <w:pPr>
        <w:tabs>
          <w:tab w:val="num" w:pos="720"/>
        </w:tabs>
        <w:ind w:start="720" w:hanging="720"/>
      </w:pPr>
      <w:rPr/>
    </w:lvl>
  </w:abstractNum>
  <w:abstractNum w:abstractNumId="12">
    <w:lvl w:ilvl="0">
      <w:start w:val="8"/>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HeadingBase"/>
    <w:next w:val="BodyText"/>
    <w:qFormat/>
    <w:pPr>
      <w:numPr>
        <w:ilvl w:val="0"/>
        <w:numId w:val="1"/>
      </w:numPr>
      <w:spacing w:before="0" w:after="120"/>
      <w:outlineLvl w:val="0"/>
    </w:pPr>
    <w:rPr>
      <w:sz w:val="26"/>
    </w:rPr>
  </w:style>
  <w:style w:type="paragraph" w:styleId="Heading2">
    <w:name w:val="heading 2"/>
    <w:basedOn w:val="HeadingBase"/>
    <w:next w:val="BodyText"/>
    <w:qFormat/>
    <w:pPr>
      <w:numPr>
        <w:ilvl w:val="1"/>
        <w:numId w:val="1"/>
      </w:numPr>
      <w:tabs>
        <w:tab w:val="clear" w:pos="720"/>
        <w:tab w:val="left" w:pos="1080" w:leader="none"/>
      </w:tabs>
      <w:ind w:hanging="0" w:start="720" w:end="0"/>
      <w:outlineLvl w:val="1"/>
    </w:pPr>
    <w:rPr>
      <w:sz w:val="26"/>
    </w:rPr>
  </w:style>
  <w:style w:type="paragraph" w:styleId="Heading3">
    <w:name w:val="heading 3"/>
    <w:basedOn w:val="HeadingBase"/>
    <w:next w:val="BodyText"/>
    <w:qFormat/>
    <w:pPr>
      <w:numPr>
        <w:ilvl w:val="2"/>
        <w:numId w:val="1"/>
      </w:numPr>
      <w:tabs>
        <w:tab w:val="clear" w:pos="720"/>
        <w:tab w:val="left" w:pos="1800" w:leader="none"/>
      </w:tabs>
      <w:ind w:hanging="0" w:start="1440" w:end="0"/>
      <w:outlineLvl w:val="2"/>
    </w:pPr>
    <w:rPr>
      <w:sz w:val="26"/>
    </w:rPr>
  </w:style>
  <w:style w:type="paragraph" w:styleId="Heading4">
    <w:name w:val="heading 4"/>
    <w:basedOn w:val="HeadingBase"/>
    <w:next w:val="BodyText"/>
    <w:qFormat/>
    <w:pPr>
      <w:numPr>
        <w:ilvl w:val="3"/>
        <w:numId w:val="1"/>
      </w:numPr>
      <w:tabs>
        <w:tab w:val="clear" w:pos="720"/>
        <w:tab w:val="left" w:pos="2520" w:leader="none"/>
      </w:tabs>
      <w:ind w:hanging="0" w:start="2160" w:end="0"/>
      <w:outlineLvl w:val="3"/>
    </w:pPr>
    <w:rPr>
      <w:b/>
    </w:rPr>
  </w:style>
  <w:style w:type="paragraph" w:styleId="Heading5">
    <w:name w:val="heading 5"/>
    <w:basedOn w:val="HeadingBase"/>
    <w:next w:val="BodyText"/>
    <w:qFormat/>
    <w:pPr>
      <w:numPr>
        <w:ilvl w:val="4"/>
        <w:numId w:val="1"/>
      </w:numPr>
      <w:tabs>
        <w:tab w:val="clear" w:pos="720"/>
        <w:tab w:val="left" w:pos="3240" w:leader="none"/>
      </w:tabs>
      <w:ind w:hanging="0" w:start="2880" w:end="0"/>
      <w:outlineLvl w:val="4"/>
    </w:pPr>
    <w:rPr>
      <w:b/>
    </w:rPr>
  </w:style>
  <w:style w:type="paragraph" w:styleId="Heading6">
    <w:name w:val="heading 6"/>
    <w:basedOn w:val="HeadingBase"/>
    <w:next w:val="BodyText"/>
    <w:qFormat/>
    <w:pPr>
      <w:numPr>
        <w:ilvl w:val="5"/>
        <w:numId w:val="1"/>
      </w:numPr>
      <w:tabs>
        <w:tab w:val="clear" w:pos="720"/>
        <w:tab w:val="left" w:pos="3960" w:leader="none"/>
      </w:tabs>
      <w:ind w:hanging="0" w:start="3600" w:end="0"/>
      <w:outlineLvl w:val="5"/>
    </w:pPr>
    <w:rPr>
      <w:b/>
    </w:rPr>
  </w:style>
  <w:style w:type="paragraph" w:styleId="Heading7">
    <w:name w:val="heading 7"/>
    <w:basedOn w:val="HeadingBase"/>
    <w:next w:val="BodyText"/>
    <w:qFormat/>
    <w:pPr>
      <w:numPr>
        <w:ilvl w:val="6"/>
        <w:numId w:val="1"/>
      </w:numPr>
      <w:tabs>
        <w:tab w:val="clear" w:pos="720"/>
        <w:tab w:val="left" w:pos="4680" w:leader="none"/>
      </w:tabs>
      <w:ind w:hanging="0" w:start="4320" w:end="0"/>
      <w:outlineLvl w:val="6"/>
    </w:pPr>
    <w:rPr>
      <w:b/>
    </w:rPr>
  </w:style>
  <w:style w:type="paragraph" w:styleId="Heading8">
    <w:name w:val="heading 8"/>
    <w:basedOn w:val="HeadingBase"/>
    <w:next w:val="BodyText"/>
    <w:qFormat/>
    <w:pPr>
      <w:numPr>
        <w:ilvl w:val="7"/>
        <w:numId w:val="1"/>
      </w:numPr>
      <w:tabs>
        <w:tab w:val="clear" w:pos="720"/>
        <w:tab w:val="left" w:pos="5400" w:leader="none"/>
      </w:tabs>
      <w:ind w:hanging="0" w:start="5040" w:end="0"/>
      <w:outlineLvl w:val="7"/>
    </w:pPr>
    <w:rPr>
      <w:b/>
    </w:rPr>
  </w:style>
  <w:style w:type="paragraph" w:styleId="Heading9">
    <w:name w:val="heading 9"/>
    <w:basedOn w:val="HeadingBase"/>
    <w:next w:val="BodyText"/>
    <w:qFormat/>
    <w:pPr>
      <w:numPr>
        <w:ilvl w:val="8"/>
        <w:numId w:val="1"/>
      </w:numPr>
      <w:tabs>
        <w:tab w:val="clear" w:pos="720"/>
        <w:tab w:val="left" w:pos="6120" w:leader="none"/>
      </w:tabs>
      <w:ind w:hanging="0" w:start="5760" w:end="0"/>
      <w:outlineLvl w:val="8"/>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z w:val="20"/>
    </w:rPr>
  </w:style>
  <w:style w:type="character" w:styleId="WW8Num16z0">
    <w:name w:val="WW8Num16z0"/>
    <w:qFormat/>
    <w:rPr>
      <w:sz w:val="20"/>
    </w:rPr>
  </w:style>
  <w:style w:type="character" w:styleId="WW8Num18z0">
    <w:name w:val="WW8Num18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keepLines/>
      <w:spacing w:before="0" w:after="240"/>
      <w:jc w:val="center"/>
    </w:pPr>
    <w:rPr>
      <w:b/>
      <w:sz w:val="28"/>
    </w:rPr>
  </w:style>
  <w:style w:type="paragraph" w:styleId="BodyText">
    <w:name w:val="Body Text"/>
    <w:basedOn w:val="Normal"/>
    <w:pPr>
      <w:spacing w:before="0" w:after="240"/>
      <w:ind w:firstLine="720" w:start="0" w:end="0"/>
    </w:pPr>
    <w:rPr/>
  </w:style>
  <w:style w:type="paragraph" w:styleId="List">
    <w:name w:val="List"/>
    <w:basedOn w:val="Normal"/>
    <w:pPr>
      <w:spacing w:before="0" w:after="240"/>
      <w:ind w:hanging="360" w:start="360" w:end="0"/>
    </w:pPr>
    <w:rPr/>
  </w:style>
  <w:style w:type="paragraph" w:styleId="Caption">
    <w:name w:val="caption"/>
    <w:basedOn w:val="Normal"/>
    <w:next w:val="Normal"/>
    <w:qFormat/>
    <w:pPr>
      <w:spacing w:before="0" w:after="240"/>
    </w:pPr>
    <w:rPr>
      <w:b/>
      <w:sz w:val="20"/>
    </w:rPr>
  </w:style>
  <w:style w:type="paragraph" w:styleId="Index">
    <w:name w:val="Index"/>
    <w:basedOn w:val="Normal"/>
    <w:qFormat/>
    <w:pPr>
      <w:suppressLineNumbers/>
    </w:pPr>
    <w:rPr>
      <w:rFonts w:cs="NotoSans NF"/>
    </w:rPr>
  </w:style>
  <w:style w:type="paragraph" w:styleId="HeadingBase">
    <w:name w:val="Heading Base"/>
    <w:basedOn w:val="Normal"/>
    <w:qFormat/>
    <w:pPr>
      <w:keepNext w:val="true"/>
      <w:keepLines/>
      <w:spacing w:before="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Normal"/>
    <w:pPr/>
    <w:rPr>
      <w:b/>
    </w:rPr>
  </w:style>
  <w:style w:type="paragraph" w:styleId="TOAHeading">
    <w:name w:val="TOA Heading"/>
    <w:basedOn w:val="Normal"/>
    <w:next w:val="Normal"/>
    <w:qFormat/>
    <w:pPr>
      <w:keepNext w:val="true"/>
      <w:spacing w:before="240" w:after="240"/>
    </w:pPr>
    <w:rPr>
      <w:b/>
    </w:rPr>
  </w:style>
  <w:style w:type="paragraph" w:styleId="NoteHeading">
    <w:name w:val="Note Heading"/>
    <w:basedOn w:val="Normal"/>
    <w:next w:val="Normal"/>
    <w:qFormat/>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2"/>
    </w:rPr>
  </w:style>
  <w:style w:type="paragraph" w:styleId="NormalIndent">
    <w:name w:val="Normal Indent"/>
    <w:basedOn w:val="Normal"/>
    <w:qFormat/>
    <w:pPr>
      <w:ind w:hanging="0" w:start="720" w:end="0"/>
    </w:pPr>
    <w:rPr/>
  </w:style>
  <w:style w:type="paragraph" w:styleId="PlainText">
    <w:name w:val="Plain Text"/>
    <w:basedOn w:val="Normal"/>
    <w:qFormat/>
    <w:pPr/>
    <w:rPr>
      <w:rFonts w:ascii="Courier New" w:hAnsi="Courier New" w:cs="Courier New"/>
    </w:rPr>
  </w:style>
  <w:style w:type="paragraph" w:styleId="BlockText">
    <w:name w:val="Block Text"/>
    <w:basedOn w:val="BodyText"/>
    <w:qFormat/>
    <w:pPr>
      <w:ind w:hanging="0" w:start="1440" w:end="1440"/>
    </w:pPr>
    <w:rPr/>
  </w:style>
  <w:style w:type="paragraph" w:styleId="BodyTextIndent">
    <w:name w:val="Body Text Indent"/>
    <w:basedOn w:val="Normal"/>
    <w:pPr>
      <w:tabs>
        <w:tab w:val="clear" w:pos="720"/>
        <w:tab w:val="left" w:pos="1440" w:leader="none"/>
      </w:tabs>
    </w:pPr>
    <w:rPr>
      <w:rFonts w:ascii="NewCenturySchlbk;Century Schoolbook" w:hAnsi="NewCenturySchlbk;Century Schoolbook" w:cs="NewCenturySchlbk;Century Schoolbook"/>
      <w:color w:val="000000"/>
    </w:rPr>
  </w:style>
  <w:style w:type="paragraph" w:styleId="BodyTextKeep">
    <w:name w:val="Body Text Keep"/>
    <w:basedOn w:val="BodyText"/>
    <w:qFormat/>
    <w:pPr>
      <w:keepNext w:val="true"/>
    </w:pPr>
    <w:rPr/>
  </w:style>
  <w:style w:type="paragraph" w:styleId="BodyTextLeft">
    <w:name w:val="Body Text Left"/>
    <w:basedOn w:val="BodyText"/>
    <w:next w:val="BodyText"/>
    <w:qFormat/>
    <w:pPr>
      <w:ind w:hanging="0" w:start="0" w:end="0"/>
    </w:pPr>
    <w:rPr/>
  </w:style>
  <w:style w:type="paragraph" w:styleId="Judge">
    <w:name w:val="Judge"/>
    <w:basedOn w:val="Normal"/>
    <w:qFormat/>
    <w:pPr/>
    <w:rPr/>
  </w:style>
  <w:style w:type="paragraph" w:styleId="JuryInstruction">
    <w:name w:val="Jury Instruction"/>
    <w:basedOn w:val="Normal"/>
    <w:next w:val="Normal"/>
    <w:qFormat/>
    <w:pPr>
      <w:pageBreakBefore/>
      <w:spacing w:before="0" w:after="240"/>
      <w:jc w:val="center"/>
    </w:pPr>
    <w:rPr/>
  </w:style>
  <w:style w:type="paragraph" w:styleId="ListBullet2">
    <w:name w:val="List Bullet 2"/>
    <w:basedOn w:val="List"/>
    <w:pPr>
      <w:spacing w:before="0" w:after="120"/>
      <w:ind w:hanging="360" w:start="720"/>
    </w:pPr>
    <w:rPr/>
  </w:style>
  <w:style w:type="paragraph" w:styleId="WW-List2">
    <w:name w:val="WW-List 2"/>
    <w:basedOn w:val="List"/>
    <w:qFormat/>
    <w:pPr>
      <w:ind w:hanging="360" w:start="720" w:end="0"/>
    </w:pPr>
    <w:rPr/>
  </w:style>
  <w:style w:type="paragraph" w:styleId="ListBullet3">
    <w:name w:val="List Bullet 3"/>
    <w:basedOn w:val="List"/>
    <w:pPr>
      <w:spacing w:before="0" w:after="120"/>
      <w:ind w:hanging="360" w:start="1080"/>
    </w:pPr>
    <w:rPr/>
  </w:style>
  <w:style w:type="paragraph" w:styleId="WW-List3">
    <w:name w:val="WW-List 3"/>
    <w:basedOn w:val="List"/>
    <w:qFormat/>
    <w:pPr>
      <w:ind w:hanging="360" w:start="1080" w:end="0"/>
    </w:pPr>
    <w:rPr/>
  </w:style>
  <w:style w:type="paragraph" w:styleId="ListBullet4">
    <w:name w:val="List Bullet 4"/>
    <w:basedOn w:val="List"/>
    <w:pPr>
      <w:spacing w:before="0" w:after="120"/>
      <w:ind w:hanging="360" w:start="1440"/>
    </w:pPr>
    <w:rPr/>
  </w:style>
  <w:style w:type="paragraph" w:styleId="WW-List4">
    <w:name w:val="WW-List 4"/>
    <w:basedOn w:val="List"/>
    <w:qFormat/>
    <w:pPr>
      <w:ind w:hanging="360" w:start="1440" w:end="0"/>
    </w:pPr>
    <w:rPr/>
  </w:style>
  <w:style w:type="paragraph" w:styleId="ListBullet5">
    <w:name w:val="List Bullet 5"/>
    <w:basedOn w:val="List"/>
    <w:pPr>
      <w:spacing w:before="0" w:after="120"/>
      <w:ind w:hanging="360" w:start="1800"/>
    </w:pPr>
    <w:rPr/>
  </w:style>
  <w:style w:type="paragraph" w:styleId="WW-List5">
    <w:name w:val="WW-List 5"/>
    <w:basedOn w:val="List"/>
    <w:qFormat/>
    <w:pPr>
      <w:ind w:hanging="360" w:start="1800" w:end="0"/>
    </w:pPr>
    <w:rPr/>
  </w:style>
  <w:style w:type="paragraph" w:styleId="ListBullet">
    <w:name w:val="List Bullet"/>
    <w:basedOn w:val="List"/>
    <w:qFormat/>
    <w:pPr>
      <w:numPr>
        <w:ilvl w:val="0"/>
        <w:numId w:val="7"/>
      </w:numPr>
    </w:pPr>
    <w:rPr/>
  </w:style>
  <w:style w:type="paragraph" w:styleId="ListBullet21">
    <w:name w:val="List Bullet 21"/>
    <w:basedOn w:val="List"/>
    <w:qFormat/>
    <w:pPr>
      <w:numPr>
        <w:ilvl w:val="0"/>
        <w:numId w:val="2"/>
      </w:numPr>
      <w:tabs>
        <w:tab w:val="left" w:pos="720" w:leader="none"/>
      </w:tabs>
      <w:ind w:hanging="360" w:start="720" w:end="0"/>
    </w:pPr>
    <w:rPr/>
  </w:style>
  <w:style w:type="paragraph" w:styleId="ListBullet31">
    <w:name w:val="List Bullet 31"/>
    <w:basedOn w:val="List"/>
    <w:qFormat/>
    <w:pPr>
      <w:numPr>
        <w:ilvl w:val="0"/>
        <w:numId w:val="9"/>
      </w:numPr>
      <w:tabs>
        <w:tab w:val="clear" w:pos="720"/>
        <w:tab w:val="left" w:pos="1080" w:leader="none"/>
      </w:tabs>
      <w:ind w:hanging="360" w:start="1080" w:end="0"/>
    </w:pPr>
    <w:rPr/>
  </w:style>
  <w:style w:type="paragraph" w:styleId="ListBullet41">
    <w:name w:val="List Bullet 41"/>
    <w:basedOn w:val="List"/>
    <w:qFormat/>
    <w:pPr>
      <w:numPr>
        <w:ilvl w:val="0"/>
        <w:numId w:val="7"/>
      </w:numPr>
      <w:tabs>
        <w:tab w:val="clear" w:pos="720"/>
        <w:tab w:val="left" w:pos="1440" w:leader="none"/>
      </w:tabs>
      <w:ind w:hanging="360" w:start="1440" w:end="0"/>
    </w:pPr>
    <w:rPr/>
  </w:style>
  <w:style w:type="paragraph" w:styleId="ListBullet51">
    <w:name w:val="List Bullet 51"/>
    <w:basedOn w:val="List"/>
    <w:qFormat/>
    <w:pPr>
      <w:numPr>
        <w:ilvl w:val="0"/>
        <w:numId w:val="6"/>
      </w:numPr>
      <w:tabs>
        <w:tab w:val="clear" w:pos="720"/>
        <w:tab w:val="left" w:pos="1800" w:leader="none"/>
      </w:tabs>
      <w:ind w:hanging="360" w:start="1800" w:end="0"/>
    </w:pPr>
    <w:rPr/>
  </w:style>
  <w:style w:type="paragraph" w:styleId="ListContinue">
    <w:name w:val="List Continue"/>
    <w:basedOn w:val="List"/>
    <w:qFormat/>
    <w:pPr>
      <w:ind w:hanging="0" w:start="360" w:end="0"/>
    </w:pPr>
    <w:rPr/>
  </w:style>
  <w:style w:type="paragraph" w:styleId="ListContinue2">
    <w:name w:val="List Continue 2"/>
    <w:basedOn w:val="List"/>
    <w:qFormat/>
    <w:pPr>
      <w:ind w:hanging="0" w:start="720" w:end="0"/>
    </w:pPr>
    <w:rPr/>
  </w:style>
  <w:style w:type="paragraph" w:styleId="ListContinue3">
    <w:name w:val="List Continue 3"/>
    <w:basedOn w:val="List"/>
    <w:qFormat/>
    <w:pPr>
      <w:ind w:hanging="0" w:start="1080" w:end="0"/>
    </w:pPr>
    <w:rPr/>
  </w:style>
  <w:style w:type="paragraph" w:styleId="ListContinue4">
    <w:name w:val="List Continue 4"/>
    <w:basedOn w:val="List"/>
    <w:qFormat/>
    <w:pPr>
      <w:ind w:hanging="0" w:start="1440" w:end="0"/>
    </w:pPr>
    <w:rPr/>
  </w:style>
  <w:style w:type="paragraph" w:styleId="ListContinue5">
    <w:name w:val="List Continue 5"/>
    <w:basedOn w:val="List"/>
    <w:qFormat/>
    <w:pPr>
      <w:ind w:hanging="0" w:start="1800" w:end="0"/>
    </w:pPr>
    <w:rPr/>
  </w:style>
  <w:style w:type="paragraph" w:styleId="ListNumber">
    <w:name w:val="List Number"/>
    <w:basedOn w:val="List"/>
    <w:qFormat/>
    <w:pPr>
      <w:numPr>
        <w:ilvl w:val="0"/>
        <w:numId w:val="3"/>
      </w:numPr>
    </w:pPr>
    <w:rPr/>
  </w:style>
  <w:style w:type="paragraph" w:styleId="ListNumber2">
    <w:name w:val="List Number 2"/>
    <w:basedOn w:val="List"/>
    <w:qFormat/>
    <w:pPr>
      <w:numPr>
        <w:ilvl w:val="0"/>
        <w:numId w:val="2"/>
      </w:numPr>
      <w:tabs>
        <w:tab w:val="left" w:pos="720" w:leader="none"/>
      </w:tabs>
      <w:ind w:hanging="360" w:start="720" w:end="0"/>
    </w:pPr>
    <w:rPr/>
  </w:style>
  <w:style w:type="paragraph" w:styleId="ListNumber3">
    <w:name w:val="List Number 3"/>
    <w:basedOn w:val="List"/>
    <w:qFormat/>
    <w:pPr>
      <w:numPr>
        <w:ilvl w:val="0"/>
        <w:numId w:val="8"/>
      </w:numPr>
      <w:tabs>
        <w:tab w:val="clear" w:pos="720"/>
        <w:tab w:val="left" w:pos="1080" w:leader="none"/>
      </w:tabs>
      <w:ind w:hanging="360" w:start="1080" w:end="0"/>
    </w:pPr>
    <w:rPr/>
  </w:style>
  <w:style w:type="paragraph" w:styleId="ListNumber4">
    <w:name w:val="List Number 4"/>
    <w:basedOn w:val="List"/>
    <w:qFormat/>
    <w:pPr>
      <w:numPr>
        <w:ilvl w:val="0"/>
        <w:numId w:val="5"/>
      </w:numPr>
      <w:tabs>
        <w:tab w:val="clear" w:pos="720"/>
        <w:tab w:val="left" w:pos="1440" w:leader="none"/>
      </w:tabs>
      <w:ind w:hanging="360" w:start="1440" w:end="0"/>
    </w:pPr>
    <w:rPr/>
  </w:style>
  <w:style w:type="paragraph" w:styleId="ListNumber5">
    <w:name w:val="List Number 5"/>
    <w:basedOn w:val="List"/>
    <w:qFormat/>
    <w:pPr>
      <w:numPr>
        <w:ilvl w:val="0"/>
        <w:numId w:val="4"/>
      </w:numPr>
      <w:tabs>
        <w:tab w:val="clear" w:pos="720"/>
        <w:tab w:val="left" w:pos="1800" w:leader="none"/>
      </w:tabs>
      <w:ind w:hanging="360" w:start="1800" w:end="0"/>
    </w:pPr>
    <w:rPr/>
  </w:style>
  <w:style w:type="paragraph" w:styleId="Footer">
    <w:name w:val="footer"/>
    <w:basedOn w:val="Normal"/>
    <w:pPr>
      <w:tabs>
        <w:tab w:val="clear" w:pos="720"/>
        <w:tab w:val="center" w:pos="4680" w:leader="none"/>
        <w:tab w:val="right" w:pos="9360" w:leader="none"/>
      </w:tabs>
    </w:pPr>
    <w:rPr/>
  </w:style>
  <w:style w:type="paragraph" w:styleId="Closing">
    <w:name w:val="Closing"/>
    <w:basedOn w:val="Normal"/>
    <w:next w:val="Signature"/>
    <w:qFormat/>
    <w:pPr>
      <w:keepNext w:val="true"/>
      <w:keepLines/>
      <w:spacing w:before="0" w:after="720"/>
    </w:pPr>
    <w:rPr/>
  </w:style>
  <w:style w:type="paragraph" w:styleId="Signature">
    <w:name w:val="Signature"/>
    <w:basedOn w:val="Normal"/>
    <w:pPr>
      <w:keepNext w:val="true"/>
      <w:keepLines/>
      <w:spacing w:before="0" w:after="240"/>
    </w:pPr>
    <w:rPr/>
  </w:style>
  <w:style w:type="paragraph" w:styleId="CommentText">
    <w:name w:val="Comment Text"/>
    <w:basedOn w:val="Normal"/>
    <w:qFormat/>
    <w:pPr>
      <w:spacing w:before="0" w:after="24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EndnoteText">
    <w:name w:val="endnote text"/>
    <w:basedOn w:val="Normal"/>
    <w:pPr>
      <w:spacing w:before="0" w:after="240"/>
      <w:ind w:firstLine="720" w:start="0" w:end="0"/>
    </w:pPr>
    <w:rPr/>
  </w:style>
  <w:style w:type="paragraph" w:styleId="FootnoteText">
    <w:name w:val="footnote text"/>
    <w:basedOn w:val="Normal"/>
    <w:pPr>
      <w:spacing w:before="0" w:after="240"/>
      <w:ind w:firstLine="720" w:start="0" w:end="0"/>
    </w:pPr>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keepLines/>
      <w:spacing w:before="0" w:after="240"/>
      <w:jc w:val="center"/>
    </w:pPr>
    <w:rPr>
      <w:b/>
    </w:rPr>
  </w:style>
  <w:style w:type="paragraph" w:styleId="Date">
    <w:name w:val="Date"/>
    <w:basedOn w:val="Normal"/>
    <w:next w:val="Normal"/>
    <w:qFormat/>
    <w:pPr>
      <w:spacing w:before="0" w:after="240"/>
    </w:pPr>
    <w:rPr/>
  </w:style>
  <w:style w:type="paragraph" w:styleId="TableofAuthorities">
    <w:name w:val="Table of Authorities"/>
    <w:basedOn w:val="Normal"/>
    <w:next w:val="Normal"/>
    <w:qFormat/>
    <w:pPr>
      <w:spacing w:before="0" w:after="240"/>
      <w:ind w:hanging="720" w:start="720" w:end="0"/>
    </w:pPr>
    <w:rPr/>
  </w:style>
  <w:style w:type="paragraph" w:styleId="TableofFigures">
    <w:name w:val="Table of Figures"/>
    <w:basedOn w:val="Normal"/>
    <w:next w:val="Normal"/>
    <w:qFormat/>
    <w:pPr>
      <w:spacing w:before="0" w:after="240"/>
      <w:ind w:hanging="720" w:start="7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en-US" w:bidi="hi-IN"/>
    </w:rPr>
  </w:style>
  <w:style w:type="paragraph" w:styleId="DocumentMap">
    <w:name w:val="Document Map"/>
    <w:basedOn w:val="Normal"/>
    <w:qFormat/>
    <w:pPr>
      <w:shd w:fill="000080" w:val="clear"/>
    </w:pPr>
    <w:rPr>
      <w:rFonts w:ascii="Tahoma" w:hAnsi="Tahoma" w:cs="Tahoma"/>
      <w:sz w:val="20"/>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railer">
    <w:name w:val="Trailer"/>
    <w:basedOn w:val="Normal"/>
    <w:next w:val="Normal"/>
    <w:qFormat/>
    <w:pPr>
      <w:keepLines/>
      <w:spacing w:before="480" w:after="0"/>
    </w:pPr>
    <w:rPr>
      <w:sz w:val="16"/>
      <w:lang w:val="en-CA"/>
    </w:rPr>
  </w:style>
  <w:style w:type="paragraph" w:styleId="HangingIndent">
    <w:name w:val="Hanging Indent"/>
    <w:basedOn w:val="Normal"/>
    <w:next w:val="Normal"/>
    <w:qFormat/>
    <w:pPr>
      <w:ind w:hanging="720" w:start="720" w:end="0"/>
    </w:pPr>
    <w:rPr/>
  </w:style>
  <w:style w:type="paragraph" w:styleId="SectionBreakAnchor">
    <w:name w:val="Section Break Anchor"/>
    <w:basedOn w:val="Normal"/>
    <w:next w:val="SectionBreakAnchor21"/>
    <w:qFormat/>
    <w:pPr>
      <w:widowControl w:val="false"/>
      <w:suppressAutoHyphens w:val="true"/>
    </w:pPr>
    <w:rPr/>
  </w:style>
  <w:style w:type="paragraph" w:styleId="Quotation">
    <w:name w:val="Quotation"/>
    <w:basedOn w:val="Normal"/>
    <w:next w:val="BodyTextLeft"/>
    <w:qFormat/>
    <w:pPr>
      <w:spacing w:before="0" w:after="240"/>
      <w:ind w:hanging="0" w:start="720" w:end="720"/>
    </w:pPr>
    <w:rPr/>
  </w:style>
  <w:style w:type="paragraph" w:styleId="FooterLandscape">
    <w:name w:val="Footer Landscape"/>
    <w:basedOn w:val="Normal"/>
    <w:qFormat/>
    <w:pPr>
      <w:tabs>
        <w:tab w:val="clear" w:pos="720"/>
        <w:tab w:val="center" w:pos="6480" w:leader="none"/>
        <w:tab w:val="right" w:pos="12960" w:leader="none"/>
      </w:tabs>
    </w:pPr>
    <w:rPr/>
  </w:style>
  <w:style w:type="paragraph" w:styleId="HeaderLandscape">
    <w:name w:val="Header Landscape"/>
    <w:basedOn w:val="Normal"/>
    <w:qFormat/>
    <w:pPr>
      <w:tabs>
        <w:tab w:val="clear" w:pos="720"/>
        <w:tab w:val="center" w:pos="6480" w:leader="none"/>
        <w:tab w:val="right" w:pos="12960" w:leader="none"/>
      </w:tabs>
    </w:pPr>
    <w:rPr/>
  </w:style>
  <w:style w:type="paragraph" w:styleId="Heading10">
    <w:name w:val="Heading 10"/>
    <w:basedOn w:val="Heading"/>
    <w:next w:val="BodyText"/>
    <w:qFormat/>
    <w:pPr>
      <w:numPr>
        <w:ilvl w:val="8"/>
        <w:numId w:val="1"/>
      </w:numPr>
      <w:spacing w:before="60" w:after="60"/>
      <w:outlineLvl w:val="8"/>
    </w:pPr>
    <w:rPr>
      <w:b/>
      <w:bCs/>
      <w:sz w:val="18"/>
      <w:szCs w:val="18"/>
    </w:rPr>
  </w:style>
  <w:style w:type="paragraph" w:styleId="WW-Heading10">
    <w:name w:val="WW-Heading 10"/>
    <w:basedOn w:val="HeadingBase"/>
    <w:next w:val="BodyText"/>
    <w:qFormat/>
    <w:pPr>
      <w:spacing w:before="240" w:after="240"/>
    </w:pPr>
    <w:rPr>
      <w:b/>
    </w:rPr>
  </w:style>
  <w:style w:type="paragraph" w:styleId="Heading11">
    <w:name w:val="Heading 11"/>
    <w:basedOn w:val="HeadingBase"/>
    <w:next w:val="BodyText"/>
    <w:qFormat/>
    <w:pPr/>
    <w:rPr>
      <w:b/>
    </w:rPr>
  </w:style>
  <w:style w:type="paragraph" w:styleId="QuotationFirstIndent">
    <w:name w:val="Quotation First Indent"/>
    <w:basedOn w:val="Normal"/>
    <w:qFormat/>
    <w:pPr>
      <w:spacing w:before="0" w:after="240"/>
      <w:ind w:firstLine="720" w:start="720" w:end="720"/>
    </w:pPr>
    <w:rPr/>
  </w:style>
  <w:style w:type="paragraph" w:styleId="SectionBreakAnchor2">
    <w:name w:val="Section Break Anchor 2"/>
    <w:basedOn w:val="SectionBreakAnchor"/>
    <w:qFormat/>
    <w:pPr/>
    <w:rPr>
      <w:sz w:val="2"/>
    </w:rPr>
  </w:style>
  <w:style w:type="paragraph" w:styleId="zYPleadingLogo">
    <w:name w:val="zY_PleadingLogo"/>
    <w:basedOn w:val="Normal"/>
    <w:qFormat/>
    <w:pPr>
      <w:spacing w:lineRule="exact" w:line="240"/>
    </w:pPr>
    <w:rPr>
      <w:rFonts w:ascii="Arial" w:hAnsi="Arial" w:cs="Arial"/>
      <w:sz w:val="18"/>
    </w:rPr>
  </w:style>
  <w:style w:type="paragraph" w:styleId="SectionBreakAnchor21">
    <w:name w:val="Section Break Anchor2"/>
    <w:basedOn w:val="Normal"/>
    <w:next w:val="BodyText"/>
    <w:qFormat/>
    <w:pPr/>
    <w:rPr>
      <w:sz w:val="2"/>
    </w:rPr>
  </w:style>
  <w:style w:type="paragraph" w:styleId="FooterB">
    <w:name w:val="Footer B"/>
    <w:qFormat/>
    <w:pPr>
      <w:widowControl/>
      <w:numPr>
        <w:ilvl w:val="0"/>
        <w:numId w:val="11"/>
      </w:numPr>
      <w:tabs>
        <w:tab w:val="clear" w:pos="720"/>
        <w:tab w:val="center" w:pos="4320" w:leader="none"/>
        <w:tab w:val="right" w:pos="8640" w:leader="none"/>
      </w:tabs>
      <w:bidi w:val="0"/>
      <w:ind w:hanging="0" w:start="0" w:end="0"/>
    </w:pPr>
    <w:rPr>
      <w:rFonts w:ascii="Times New Roman" w:hAnsi="Times New Roman" w:eastAsia="Times New Roman" w:cs="Times New Roman"/>
      <w:color w:val="auto"/>
      <w:sz w:val="15"/>
      <w:szCs w:val="20"/>
      <w:lang w:val="en-US" w:eastAsia="en-US" w:bidi="hi-IN"/>
    </w:rPr>
  </w:style>
  <w:style w:type="paragraph" w:styleId="1AutoList1">
    <w:name w:val="1AutoList1"/>
    <w:qFormat/>
    <w:pPr>
      <w:widowControl/>
      <w:tabs>
        <w:tab w:val="left" w:pos="720" w:leader="none"/>
      </w:tabs>
      <w:bidi w:val="0"/>
      <w:ind w:hanging="720" w:start="720" w:end="0"/>
    </w:pPr>
    <w:rPr>
      <w:rFonts w:ascii="Times New Roman" w:hAnsi="Times New Roman" w:eastAsia="Times New Roman" w:cs="Times New Roman"/>
      <w:color w:val="auto"/>
      <w:sz w:val="24"/>
      <w:szCs w:val="20"/>
      <w:lang w:val="en-US" w:eastAsia="en-US" w:bidi="hi-IN"/>
    </w:rPr>
  </w:style>
  <w:style w:type="paragraph" w:styleId="ListBulletPara">
    <w:name w:val="List BulletPara"/>
    <w:basedOn w:val="BodyText"/>
    <w:qFormat/>
    <w:pPr>
      <w:numPr>
        <w:ilvl w:val="0"/>
        <w:numId w:val="13"/>
      </w:numPr>
      <w:spacing w:lineRule="auto" w:line="360" w:before="0" w:after="140"/>
      <w:ind w:hanging="36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2001-11-27T20:49:00Z</dcterms:created>
  <dc:creator>JFagan</dc:creator>
  <dc:description>13779.0063</dc:description>
  <cp:keywords>34575 v01.DC (Q_F01!.DOC)</cp:keywords>
  <dc:language>en-CA</dc:language>
  <cp:lastModifiedBy>cgosain</cp:lastModifiedBy>
  <cp:lastPrinted>2001-11-25T15:41:00Z</cp:lastPrinted>
  <dcterms:modified xsi:type="dcterms:W3CDTF">2001-11-27T21:49:00Z</dcterms:modified>
  <cp:revision>3</cp:revision>
  <dc:subject/>
  <dc:title>California Parties - Second Set of responses to Duke</dc:title>
</cp:coreProperties>
</file>