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ANKER COAL GROUP, INC.,</w:t>
      </w:r>
    </w:p>
    <w:p>
      <w:pPr>
        <w:pStyle w:val="Normal"/>
        <w:jc w:val="center"/>
        <w:rPr>
          <w:b/>
        </w:rPr>
      </w:pPr>
      <w:r>
        <w:rPr>
          <w:b/>
        </w:rPr>
        <w:t>as Issuer,</w:t>
      </w:r>
    </w:p>
    <w:p>
      <w:pPr>
        <w:pStyle w:val="Normal"/>
        <w:jc w:val="center"/>
        <w:rPr>
          <w:b/>
        </w:rPr>
      </w:pPr>
      <w:r>
        <w:rPr>
          <w:b/>
        </w:rPr>
      </w:r>
    </w:p>
    <w:p>
      <w:pPr>
        <w:pStyle w:val="Normal"/>
        <w:jc w:val="center"/>
        <w:rPr>
          <w:b/>
        </w:rPr>
      </w:pPr>
      <w:r>
        <w:rPr>
          <w:b/>
        </w:rPr>
      </w:r>
    </w:p>
    <w:p>
      <w:pPr>
        <w:pStyle w:val="Normal"/>
        <w:jc w:val="center"/>
        <w:rPr>
          <w:b/>
        </w:rPr>
      </w:pPr>
      <w:r>
        <w:rPr>
          <w:b/>
        </w:rPr>
        <w:t>THE GUARANTORS SIGNATORY HERETO</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Normal"/>
        <w:jc w:val="center"/>
        <w:rPr>
          <w:b/>
        </w:rPr>
      </w:pPr>
      <w:r>
        <w:rPr>
          <w:b/>
        </w:rPr>
        <w:t>THE BANK OF NEW YORK,</w:t>
      </w:r>
    </w:p>
    <w:p>
      <w:pPr>
        <w:pStyle w:val="Normal"/>
        <w:jc w:val="center"/>
        <w:rPr>
          <w:b/>
        </w:rPr>
      </w:pPr>
      <w:r>
        <w:rPr>
          <w:b/>
        </w:rPr>
        <w:t>as Trustee</w:t>
      </w:r>
    </w:p>
    <w:p>
      <w:pPr>
        <w:pStyle w:val="Normal"/>
        <w:jc w:val="center"/>
        <w:rPr>
          <w:b/>
        </w:rPr>
      </w:pPr>
      <w:r>
        <w:rPr>
          <w:b/>
        </w:rPr>
      </w:r>
    </w:p>
    <w:p>
      <w:pPr>
        <w:pStyle w:val="Normal"/>
        <w:jc w:val="center"/>
        <w:rPr>
          <w:b/>
        </w:rPr>
      </w:pPr>
      <w:r>
        <w:rPr>
          <w:b/>
        </w:rPr>
        <w:t>________________________________________________</w:t>
      </w:r>
    </w:p>
    <w:p>
      <w:pPr>
        <w:pStyle w:val="Normal"/>
        <w:jc w:val="center"/>
        <w:rPr>
          <w:b/>
        </w:rPr>
      </w:pPr>
      <w:r>
        <w:rPr>
          <w:b/>
        </w:rPr>
      </w:r>
    </w:p>
    <w:p>
      <w:pPr>
        <w:pStyle w:val="Normal"/>
        <w:jc w:val="center"/>
        <w:rPr>
          <w:b/>
        </w:rPr>
      </w:pPr>
      <w:r>
        <w:rPr>
          <w:b/>
        </w:rPr>
      </w:r>
    </w:p>
    <w:p>
      <w:pPr>
        <w:pStyle w:val="Normal"/>
        <w:jc w:val="center"/>
        <w:rPr>
          <w:b/>
        </w:rPr>
      </w:pPr>
      <w:r>
        <w:rPr>
          <w:b/>
        </w:rPr>
        <w:t>SUPPLEMENTAL INDENTURE</w:t>
      </w:r>
    </w:p>
    <w:p>
      <w:pPr>
        <w:pStyle w:val="Normal"/>
        <w:jc w:val="center"/>
        <w:rPr>
          <w:b/>
        </w:rPr>
      </w:pPr>
      <w:r>
        <w:rPr>
          <w:b/>
        </w:rPr>
      </w:r>
    </w:p>
    <w:p>
      <w:pPr>
        <w:pStyle w:val="Normal"/>
        <w:jc w:val="center"/>
        <w:rPr>
          <w:b/>
        </w:rPr>
      </w:pPr>
      <w:r>
        <w:rPr>
          <w:b/>
        </w:rPr>
        <w:t>Dated as of January 1, 2001</w:t>
      </w:r>
    </w:p>
    <w:p>
      <w:pPr>
        <w:pStyle w:val="Normal"/>
        <w:jc w:val="center"/>
        <w:rPr>
          <w:b/>
        </w:rPr>
      </w:pPr>
      <w:r>
        <w:rPr>
          <w:b/>
        </w:rPr>
      </w:r>
    </w:p>
    <w:p>
      <w:pPr>
        <w:pStyle w:val="Normal"/>
        <w:jc w:val="center"/>
        <w:rPr>
          <w:b/>
        </w:rPr>
      </w:pPr>
      <w:r>
        <w:rPr>
          <w:b/>
        </w:rPr>
        <w:t>Amending and Supplementing the Indenture</w:t>
      </w:r>
    </w:p>
    <w:p>
      <w:pPr>
        <w:pStyle w:val="Normal"/>
        <w:jc w:val="center"/>
        <w:rPr>
          <w:b/>
        </w:rPr>
      </w:pPr>
      <w:r>
        <w:rPr>
          <w:b/>
        </w:rPr>
        <w:t>Dated as of October 1, 1999</w:t>
      </w:r>
    </w:p>
    <w:p>
      <w:pPr>
        <w:pStyle w:val="Normal"/>
        <w:jc w:val="center"/>
        <w:rPr>
          <w:b/>
        </w:rPr>
      </w:pPr>
      <w:r>
        <w:rPr>
          <w:b/>
        </w:rPr>
      </w:r>
    </w:p>
    <w:p>
      <w:pPr>
        <w:pStyle w:val="Normal"/>
        <w:jc w:val="center"/>
        <w:rPr>
          <w:b/>
        </w:rPr>
      </w:pPr>
      <w:r>
        <w:rPr>
          <w:b/>
        </w:rPr>
        <w:t>________________________________________________</w:t>
      </w:r>
    </w:p>
    <w:p>
      <w:pPr>
        <w:pStyle w:val="Normal"/>
        <w:jc w:val="center"/>
        <w:rPr>
          <w:b/>
        </w:rPr>
      </w:pPr>
      <w:r>
        <w:rPr>
          <w:b/>
        </w:rPr>
      </w:r>
    </w:p>
    <w:p>
      <w:pPr>
        <w:pStyle w:val="Normal"/>
        <w:jc w:val="center"/>
        <w:rPr/>
      </w:pPr>
      <w:r>
        <w:rPr/>
      </w:r>
    </w:p>
    <w:p>
      <w:pPr>
        <w:pStyle w:val="Normal"/>
        <w:jc w:val="center"/>
        <w:rPr/>
      </w:pPr>
      <w:r>
        <w:rPr/>
      </w:r>
    </w:p>
    <w:p>
      <w:pPr>
        <w:pStyle w:val="Normal"/>
        <w:jc w:val="center"/>
        <w:rPr>
          <w:b/>
        </w:rPr>
      </w:pPr>
      <w:r>
        <w:rPr>
          <w:b/>
        </w:rPr>
        <w:t>14.25% SERIES B SECOND PRIORITY SENIOR SECURED NOTES DUE 2007</w:t>
      </w:r>
    </w:p>
    <w:p>
      <w:pPr>
        <w:pStyle w:val="Normal"/>
        <w:jc w:val="center"/>
        <w:rPr>
          <w:b/>
        </w:rPr>
      </w:pPr>
      <w:r>
        <w:rPr>
          <w:b/>
        </w:rPr>
        <w:t>(PIK THROUGH APRIL , 2000)</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b/>
        </w:rPr>
      </w:pPr>
      <w:r>
        <w:rPr>
          <w:b/>
        </w:rPr>
      </w:r>
    </w:p>
    <w:p>
      <w:pPr>
        <w:pStyle w:val="Normal"/>
        <w:jc w:val="both"/>
        <w:rPr/>
      </w:pPr>
      <w:r>
        <w:rPr/>
      </w:r>
    </w:p>
    <w:p>
      <w:pPr>
        <w:pStyle w:val="Normal"/>
        <w:jc w:val="both"/>
        <w:rPr/>
      </w:pPr>
      <w:r>
        <w:rPr/>
        <w:tab/>
      </w:r>
      <w:r>
        <w:rPr>
          <w:b/>
        </w:rPr>
        <w:t>SUPPLEMENTAL INDENTURE</w:t>
      </w:r>
      <w:r>
        <w:rPr/>
        <w:t xml:space="preserve"> (the "Supplemental Indenture"), dated  as  of  January 1, 2001, among </w:t>
      </w:r>
      <w:r>
        <w:rPr>
          <w:b/>
        </w:rPr>
        <w:t>ANKER COAL GROUP, INC.</w:t>
      </w:r>
      <w:r>
        <w:rPr/>
        <w:t xml:space="preserve">, a corporation organized under the laws of the State of Delaware (the "Company"), </w:t>
      </w:r>
      <w:r>
        <w:rPr>
          <w:b/>
        </w:rPr>
        <w:t>THE GUARANTORS SIGNATORY THERETO</w:t>
      </w:r>
      <w:r>
        <w:rPr/>
        <w:t xml:space="preserve">, and </w:t>
      </w:r>
      <w:r>
        <w:rPr>
          <w:b/>
        </w:rPr>
        <w:t>THE BANK OF NEW YORK</w:t>
      </w:r>
      <w:r>
        <w:rPr/>
        <w:t xml:space="preserve">, a New York banking corporation, as trustee (the "Trustee"), amending and supplementing the Indenture dated as of October 1, 1999 (the "Indenture") among the Company, the Guarantors signatory thereto and the Trustee, which governs the Company’s 14.25% Series B Second Priority Senior Secured Notes Due 2007 (PIK through April 1, 2000).  </w:t>
      </w:r>
    </w:p>
    <w:p>
      <w:pPr>
        <w:pStyle w:val="Normal"/>
        <w:jc w:val="both"/>
        <w:rPr/>
      </w:pPr>
      <w:r>
        <w:rPr/>
      </w:r>
    </w:p>
    <w:p>
      <w:pPr>
        <w:pStyle w:val="Normal"/>
        <w:widowControl w:val="false"/>
        <w:jc w:val="center"/>
        <w:rPr/>
      </w:pPr>
      <w:r>
        <w:rPr>
          <w:b/>
          <w:u w:val="single"/>
        </w:rPr>
        <w:t>W I T N E S S E T H</w:t>
      </w:r>
      <w:r>
        <w:rPr>
          <w:b/>
        </w:rPr>
        <w:t>:</w:t>
      </w:r>
    </w:p>
    <w:p>
      <w:pPr>
        <w:pStyle w:val="Normal"/>
        <w:widowControl w:val="false"/>
        <w:jc w:val="center"/>
        <w:rPr>
          <w:b/>
        </w:rPr>
      </w:pPr>
      <w:r>
        <w:rPr>
          <w:b/>
        </w:rPr>
      </w:r>
    </w:p>
    <w:p>
      <w:pPr>
        <w:pStyle w:val="Normal"/>
        <w:jc w:val="both"/>
        <w:rPr/>
      </w:pPr>
      <w:r>
        <w:rPr/>
        <w:tab/>
      </w:r>
      <w:r>
        <w:rPr>
          <w:b/>
        </w:rPr>
        <w:t>WHEREAS</w:t>
      </w:r>
      <w:r>
        <w:rPr/>
        <w:t xml:space="preserve">, pursuant to Section 11.3 of the Indenture, the Company desires to effect certain amendments (the "Amendments") to the Indenture which are set forth in this Supplemental Indenture; and </w:t>
      </w:r>
    </w:p>
    <w:p>
      <w:pPr>
        <w:pStyle w:val="Normal"/>
        <w:jc w:val="both"/>
        <w:rPr/>
      </w:pPr>
      <w:r>
        <w:rPr/>
      </w:r>
    </w:p>
    <w:p>
      <w:pPr>
        <w:pStyle w:val="Normal"/>
        <w:jc w:val="both"/>
        <w:rPr/>
      </w:pPr>
      <w:r>
        <w:rPr/>
        <w:tab/>
      </w:r>
      <w:r>
        <w:rPr>
          <w:b/>
        </w:rPr>
        <w:t>WHEREAS</w:t>
      </w:r>
      <w:r>
        <w:rPr/>
        <w:t>, pursuant to Section 11.3 of the Indenture, adoption of the Amendments requires the consent of Holders of a majority in principal amount of the Notes then outstanding; and</w:t>
      </w:r>
    </w:p>
    <w:p>
      <w:pPr>
        <w:pStyle w:val="Normal"/>
        <w:jc w:val="both"/>
        <w:rPr/>
      </w:pPr>
      <w:r>
        <w:rPr/>
      </w:r>
    </w:p>
    <w:p>
      <w:pPr>
        <w:pStyle w:val="Normal"/>
        <w:jc w:val="both"/>
        <w:rPr/>
      </w:pPr>
      <w:r>
        <w:rPr/>
        <w:tab/>
      </w:r>
      <w:r>
        <w:rPr>
          <w:b/>
        </w:rPr>
        <w:t>WHEREAS</w:t>
      </w:r>
      <w:r>
        <w:rPr/>
        <w:t xml:space="preserve">, the Company has delivered to the Trustee written consents to the Amendments of at least a majority in principal amount of the outstanding Notes; and </w:t>
      </w:r>
    </w:p>
    <w:p>
      <w:pPr>
        <w:pStyle w:val="Normal"/>
        <w:jc w:val="both"/>
        <w:rPr/>
      </w:pPr>
      <w:r>
        <w:rPr/>
      </w:r>
    </w:p>
    <w:p>
      <w:pPr>
        <w:pStyle w:val="Normal"/>
        <w:jc w:val="both"/>
        <w:rPr/>
      </w:pPr>
      <w:r>
        <w:rPr/>
        <w:tab/>
      </w:r>
      <w:r>
        <w:rPr>
          <w:b/>
        </w:rPr>
        <w:t>WHEREAS</w:t>
      </w:r>
      <w:r>
        <w:rPr/>
        <w:t xml:space="preserve">, the Company has delivered to the Trustee (i) an Officers' Certificate and (ii) an Opinion of Counsel pursuant to Section 11.7 of the Indenture with respect to this Supplemental Indenture; and </w:t>
      </w:r>
    </w:p>
    <w:p>
      <w:pPr>
        <w:pStyle w:val="Normal"/>
        <w:jc w:val="both"/>
        <w:rPr/>
      </w:pPr>
      <w:r>
        <w:rPr/>
      </w:r>
    </w:p>
    <w:p>
      <w:pPr>
        <w:pStyle w:val="Normal"/>
        <w:jc w:val="both"/>
        <w:rPr/>
      </w:pPr>
      <w:r>
        <w:rPr/>
        <w:tab/>
      </w:r>
      <w:r>
        <w:rPr>
          <w:b/>
        </w:rPr>
        <w:t>WHEREAS</w:t>
      </w:r>
      <w:r>
        <w:rPr/>
        <w:t xml:space="preserve">, the respective Boards of Directors of the Company and the Guarantors have duly authorized the execution and delivery of this Supplemental Indenture and have done all things necessary to make this Supplemental Indenture a valid, binding and enforceable agreement in accordance with its terms; and </w:t>
      </w:r>
    </w:p>
    <w:p>
      <w:pPr>
        <w:pStyle w:val="Normal"/>
        <w:jc w:val="both"/>
        <w:rPr/>
      </w:pPr>
      <w:r>
        <w:rPr/>
      </w:r>
    </w:p>
    <w:p>
      <w:pPr>
        <w:pStyle w:val="Normal"/>
        <w:jc w:val="both"/>
        <w:rPr/>
      </w:pPr>
      <w:r>
        <w:rPr/>
        <w:tab/>
      </w:r>
      <w:r>
        <w:rPr>
          <w:b/>
        </w:rPr>
        <w:t>WHEREAS</w:t>
      </w:r>
      <w:r>
        <w:rPr/>
        <w:t>, based on the foregoing, the Trustee is willing to execute and deliver this Supplemental Indenture.</w:t>
      </w:r>
    </w:p>
    <w:p>
      <w:pPr>
        <w:pStyle w:val="Normal"/>
        <w:jc w:val="both"/>
        <w:rPr/>
      </w:pPr>
      <w:r>
        <w:rPr/>
      </w:r>
    </w:p>
    <w:p>
      <w:pPr>
        <w:pStyle w:val="Normal"/>
        <w:jc w:val="both"/>
        <w:rPr/>
      </w:pPr>
      <w:r>
        <w:rPr/>
        <w:tab/>
      </w:r>
      <w:r>
        <w:rPr>
          <w:b/>
        </w:rPr>
        <w:t>NOW, THEREFORE, KNOW ALL MEN BY THESE PRESENTS, THAT THIS SUPPLEMENTAL INDENTURE WITNESSETH:</w:t>
      </w:r>
    </w:p>
    <w:p>
      <w:pPr>
        <w:pStyle w:val="Normal"/>
        <w:jc w:val="both"/>
        <w:rPr/>
      </w:pPr>
      <w:r>
        <w:rPr/>
      </w:r>
    </w:p>
    <w:p>
      <w:pPr>
        <w:pStyle w:val="Normal"/>
        <w:jc w:val="both"/>
        <w:rPr/>
      </w:pPr>
      <w:r>
        <w:rPr/>
        <w:tab/>
        <w:t>That the Company, the Guarantors and the Trustee in consideration of the premises set forth herein, and for other good and valuable consideration, the receipt and sufficiency of which are hereby acknowledged, and intending to be legally bound hereby, DO HEREBY AGREE AS FOLLOWS:</w:t>
      </w:r>
    </w:p>
    <w:p>
      <w:pPr>
        <w:pStyle w:val="Heading1"/>
        <w:spacing w:lineRule="auto" w:line="240"/>
        <w:ind w:hanging="0" w:start="0"/>
        <w:rPr/>
      </w:pPr>
      <w:r>
        <w:rPr/>
      </w:r>
    </w:p>
    <w:p>
      <w:pPr>
        <w:pStyle w:val="Normal"/>
        <w:rPr/>
      </w:pPr>
      <w:r>
        <w:rPr/>
      </w:r>
    </w:p>
    <w:p>
      <w:pPr>
        <w:pStyle w:val="Normal"/>
        <w:rPr/>
      </w:pPr>
      <w:r>
        <w:rPr/>
      </w:r>
    </w:p>
    <w:p>
      <w:pPr>
        <w:pStyle w:val="Normal"/>
        <w:rPr/>
      </w:pPr>
      <w:r>
        <w:rPr/>
      </w:r>
    </w:p>
    <w:p>
      <w:pPr>
        <w:pStyle w:val="Normal"/>
        <w:rPr/>
      </w:pPr>
      <w:r>
        <w:rPr/>
      </w:r>
    </w:p>
    <w:p>
      <w:pPr>
        <w:pStyle w:val="Heading1"/>
        <w:spacing w:lineRule="auto" w:line="240"/>
        <w:ind w:hanging="0" w:start="0"/>
        <w:rPr/>
      </w:pPr>
      <w:r>
        <w:rPr/>
        <w:t>ARTICLE ONE</w:t>
      </w:r>
    </w:p>
    <w:p>
      <w:pPr>
        <w:pStyle w:val="Normal"/>
        <w:jc w:val="center"/>
        <w:rPr>
          <w:b/>
        </w:rPr>
      </w:pPr>
      <w:r>
        <w:rPr>
          <w:b/>
        </w:rPr>
      </w:r>
    </w:p>
    <w:p>
      <w:pPr>
        <w:pStyle w:val="Normal"/>
        <w:jc w:val="center"/>
        <w:rPr>
          <w:b/>
        </w:rPr>
      </w:pPr>
      <w:r>
        <w:rPr>
          <w:b/>
        </w:rPr>
        <w:t>INDENTURE</w:t>
      </w:r>
    </w:p>
    <w:p>
      <w:pPr>
        <w:pStyle w:val="Normal"/>
        <w:jc w:val="both"/>
        <w:rPr>
          <w:b/>
        </w:rPr>
      </w:pPr>
      <w:r>
        <w:rPr>
          <w:b/>
        </w:rPr>
      </w:r>
    </w:p>
    <w:p>
      <w:pPr>
        <w:pStyle w:val="Normal"/>
        <w:jc w:val="both"/>
        <w:rPr/>
      </w:pPr>
      <w:r>
        <w:rPr/>
        <w:tab/>
        <w:t>SECTION 1.01</w:t>
        <w:tab/>
      </w:r>
      <w:r>
        <w:rPr>
          <w:u w:val="single"/>
        </w:rPr>
        <w:t>Effect of the Original Indenture</w:t>
      </w:r>
      <w:r>
        <w:rPr/>
        <w:t>.</w:t>
      </w:r>
    </w:p>
    <w:p>
      <w:pPr>
        <w:pStyle w:val="Normal"/>
        <w:jc w:val="both"/>
        <w:rPr/>
      </w:pPr>
      <w:r>
        <w:rPr/>
      </w:r>
    </w:p>
    <w:p>
      <w:pPr>
        <w:pStyle w:val="Normal"/>
        <w:jc w:val="both"/>
        <w:rPr/>
      </w:pPr>
      <w:r>
        <w:rPr/>
        <w:tab/>
        <w:t>Except as specifically provided in this Supplemental Indenture, the Indenture, as heretofore supplemented and amended, shall remain in full force and effect.</w:t>
      </w:r>
    </w:p>
    <w:p>
      <w:pPr>
        <w:pStyle w:val="Heading1"/>
        <w:spacing w:lineRule="auto" w:line="240"/>
        <w:ind w:hanging="0" w:start="0"/>
        <w:rPr/>
      </w:pPr>
      <w:r>
        <w:rPr/>
      </w:r>
    </w:p>
    <w:p>
      <w:pPr>
        <w:pStyle w:val="Heading1"/>
        <w:spacing w:lineRule="auto" w:line="240"/>
        <w:ind w:hanging="0" w:start="0"/>
        <w:rPr/>
      </w:pPr>
      <w:r>
        <w:rPr/>
        <w:t>ARTICLE TWO</w:t>
      </w:r>
    </w:p>
    <w:p>
      <w:pPr>
        <w:pStyle w:val="Heading1"/>
        <w:spacing w:lineRule="auto" w:line="240"/>
        <w:ind w:hanging="0" w:start="0"/>
        <w:rPr/>
      </w:pPr>
      <w:r>
        <w:rPr/>
      </w:r>
    </w:p>
    <w:p>
      <w:pPr>
        <w:pStyle w:val="Heading1"/>
        <w:spacing w:lineRule="auto" w:line="240"/>
        <w:ind w:hanging="0" w:start="0"/>
        <w:rPr/>
      </w:pPr>
      <w:r>
        <w:rPr/>
        <w:t>AMENDMENTS TO THE INDENTURE</w:t>
      </w:r>
    </w:p>
    <w:p>
      <w:pPr>
        <w:pStyle w:val="Normal"/>
        <w:jc w:val="both"/>
        <w:rPr/>
      </w:pPr>
      <w:r>
        <w:rPr/>
      </w:r>
    </w:p>
    <w:p>
      <w:pPr>
        <w:pStyle w:val="Normal"/>
        <w:jc w:val="both"/>
        <w:rPr/>
      </w:pPr>
      <w:r>
        <w:rPr/>
        <w:tab/>
        <w:t>SECTION 2.01</w:t>
        <w:tab/>
      </w:r>
      <w:r>
        <w:rPr>
          <w:u w:val="single"/>
        </w:rPr>
        <w:t>Reports</w:t>
      </w:r>
      <w:r>
        <w:rPr/>
        <w:t xml:space="preserve">. </w:t>
      </w:r>
    </w:p>
    <w:p>
      <w:pPr>
        <w:pStyle w:val="Normal"/>
        <w:jc w:val="both"/>
        <w:rPr/>
      </w:pPr>
      <w:r>
        <w:rPr/>
      </w:r>
    </w:p>
    <w:p>
      <w:pPr>
        <w:pStyle w:val="Normal"/>
        <w:jc w:val="both"/>
        <w:rPr/>
      </w:pPr>
      <w:r>
        <w:rPr/>
        <w:tab/>
        <w:t>The Indenture is hereby amended by deleting Section 4.3 thereof in its entirety and substituting the following in lieu thereof:</w:t>
      </w:r>
    </w:p>
    <w:p>
      <w:pPr>
        <w:pStyle w:val="BodyTextIndent"/>
        <w:rPr/>
      </w:pPr>
      <w:r>
        <w:rPr/>
      </w:r>
    </w:p>
    <w:p>
      <w:pPr>
        <w:pStyle w:val="BodyTextIndent"/>
        <w:ind w:end="720"/>
        <w:rPr/>
      </w:pPr>
      <w:r>
        <w:rPr/>
        <w:t>"Whether or not required by the rules and regulations of the SEC, so long as any Notes are outstanding, the Company shall promptly furnish to the Trustee and Holders of Notes (i) all quarterly and annual financial information that would be required to be contained in a filing with the SEC on Forms 10-Q and 10-K if the Company were required to file such Forms, including a "Management's Discussion and Analysis of Financial Condition and Results of Operations" that describes the financial condition and results of operations of the Company and its consolidated Subsidiaries and, with respect to the annual information only, a report thereon by the Company's certified independent accountants and (ii) all current reports that would be required to be filed with the SEC on Form 8-K if the Company were required to file such reports, in each case within the time periods set forth in the SEC's rules and regulations. To the extent the Company is not required to file such information and reports with the SEC under its the rules and regulations, for all periods beginning on or after January 1, 2001, the Company shall make such information and reports for such periods publicly available by posting the same on a website owned, leased or maintained by the Company. In addition, until the effectiveness of the Exchange Offer Registration Statement, the Company and the Guarantors shall furnish to the Holders of the Series A Notes and to prospective investors, upon their request, the information required to be delivered pursuant to Rule 144A(d)(4) under the Securities Act."</w:t>
      </w:r>
    </w:p>
    <w:p>
      <w:pPr>
        <w:pStyle w:val="BodyTextIndent"/>
        <w:ind w:start="0" w:end="0"/>
        <w:rPr/>
      </w:pPr>
      <w:r>
        <w:rPr/>
      </w:r>
    </w:p>
    <w:p>
      <w:pPr>
        <w:pStyle w:val="BodyTextIndent"/>
        <w:ind w:start="0" w:end="0"/>
        <w:jc w:val="center"/>
        <w:rPr>
          <w:b/>
        </w:rPr>
      </w:pPr>
      <w:r>
        <w:rPr>
          <w:b/>
        </w:rPr>
        <w:t>ARTICLE THREE</w:t>
      </w:r>
    </w:p>
    <w:p>
      <w:pPr>
        <w:pStyle w:val="BodyTextIndent"/>
        <w:ind w:start="0" w:end="0"/>
        <w:jc w:val="center"/>
        <w:rPr>
          <w:b/>
        </w:rPr>
      </w:pPr>
      <w:r>
        <w:rPr>
          <w:b/>
        </w:rPr>
      </w:r>
    </w:p>
    <w:p>
      <w:pPr>
        <w:pStyle w:val="BodyTextIndent"/>
        <w:ind w:start="0" w:end="0"/>
        <w:jc w:val="center"/>
        <w:rPr>
          <w:b/>
        </w:rPr>
      </w:pPr>
      <w:r>
        <w:rPr>
          <w:b/>
        </w:rPr>
        <w:t>MISCELLANEOUS</w:t>
      </w:r>
    </w:p>
    <w:p>
      <w:pPr>
        <w:pStyle w:val="BodyTextIndent"/>
        <w:ind w:start="0" w:end="0"/>
        <w:rPr/>
      </w:pPr>
      <w:r>
        <w:rPr/>
      </w:r>
    </w:p>
    <w:p>
      <w:pPr>
        <w:pStyle w:val="BodyTextIndent"/>
        <w:ind w:start="0" w:end="0"/>
        <w:rPr/>
      </w:pPr>
      <w:r>
        <w:rPr/>
        <w:tab/>
        <w:t>SECTION 3.01</w:t>
        <w:tab/>
      </w:r>
      <w:r>
        <w:rPr>
          <w:u w:val="single"/>
        </w:rPr>
        <w:t>Documentary Requirements</w:t>
      </w:r>
      <w:r>
        <w:rPr/>
        <w:t>.</w:t>
      </w:r>
    </w:p>
    <w:p>
      <w:pPr>
        <w:pStyle w:val="BodyTextIndent"/>
        <w:ind w:start="0" w:end="0"/>
        <w:rPr/>
      </w:pPr>
      <w:r>
        <w:rPr/>
      </w:r>
    </w:p>
    <w:p>
      <w:pPr>
        <w:pStyle w:val="BodyTextIndent"/>
        <w:ind w:start="0" w:end="0"/>
        <w:rPr/>
      </w:pPr>
      <w:r>
        <w:rPr/>
        <w:tab/>
        <w:t>The Trustee shall be authorized to accept Indenture certificates and document delivery requirements appropriately modified to reflect the changes made by this Supplemental Indenture.</w:t>
      </w:r>
    </w:p>
    <w:p>
      <w:pPr>
        <w:pStyle w:val="BodyTextIndent"/>
        <w:ind w:start="0" w:end="0"/>
        <w:rPr/>
      </w:pPr>
      <w:r>
        <w:rPr/>
      </w:r>
    </w:p>
    <w:p>
      <w:pPr>
        <w:pStyle w:val="BodyTextIndent"/>
        <w:ind w:start="0" w:end="0"/>
        <w:rPr/>
      </w:pPr>
      <w:r>
        <w:rPr/>
        <w:tab/>
        <w:t>SECTION 3.02</w:t>
        <w:tab/>
      </w:r>
      <w:r>
        <w:rPr>
          <w:u w:val="single"/>
        </w:rPr>
        <w:t>Trust Indenture Act</w:t>
      </w:r>
      <w:r>
        <w:rPr/>
        <w:t>.</w:t>
      </w:r>
    </w:p>
    <w:p>
      <w:pPr>
        <w:pStyle w:val="BodyTextIndent"/>
        <w:ind w:start="0" w:end="0"/>
        <w:rPr/>
      </w:pPr>
      <w:r>
        <w:rPr/>
      </w:r>
    </w:p>
    <w:p>
      <w:pPr>
        <w:pStyle w:val="BodyTextIndent"/>
        <w:ind w:start="0" w:end="0"/>
        <w:rPr/>
      </w:pPr>
      <w:r>
        <w:rPr/>
        <w:tab/>
        <w:t>If any provision of this Supplemental Indenture limits, qualifies or conflicts with the duties imposed by TIA Section 318(c), the imposed duties shall control.</w:t>
      </w:r>
    </w:p>
    <w:p>
      <w:pPr>
        <w:pStyle w:val="BodyTextIndent"/>
        <w:ind w:start="0" w:end="0"/>
        <w:rPr/>
      </w:pPr>
      <w:r>
        <w:rPr/>
      </w:r>
    </w:p>
    <w:p>
      <w:pPr>
        <w:pStyle w:val="BodyTextIndent"/>
        <w:ind w:start="0" w:end="0"/>
        <w:rPr/>
      </w:pPr>
      <w:r>
        <w:rPr/>
        <w:tab/>
        <w:t>SECTION 3.03</w:t>
        <w:tab/>
      </w:r>
      <w:r>
        <w:rPr>
          <w:u w:val="single"/>
        </w:rPr>
        <w:t>Same Instrument</w:t>
      </w:r>
      <w:r>
        <w:rPr/>
        <w:t>.</w:t>
      </w:r>
    </w:p>
    <w:p>
      <w:pPr>
        <w:pStyle w:val="BodyTextIndent"/>
        <w:ind w:start="0" w:end="0"/>
        <w:rPr/>
      </w:pPr>
      <w:r>
        <w:rPr/>
      </w:r>
    </w:p>
    <w:p>
      <w:pPr>
        <w:pStyle w:val="BodyTextIndent"/>
        <w:ind w:start="0" w:end="0"/>
        <w:rPr/>
      </w:pPr>
      <w:r>
        <w:rPr/>
        <w:tab/>
        <w:t>The Indenture, as supplemented and amended by this Supplemental Indenture and all other indentures supplemented thereto, is in all respects ratified and confirmed, and the Indenture, this Supplemental Indenture and all indentures supplemental thereto shall be read, taken and construed as one and the same instrument.</w:t>
      </w:r>
    </w:p>
    <w:p>
      <w:pPr>
        <w:pStyle w:val="BodyTextIndent"/>
        <w:ind w:start="0" w:end="0"/>
        <w:rPr/>
      </w:pPr>
      <w:r>
        <w:rPr/>
      </w:r>
    </w:p>
    <w:p>
      <w:pPr>
        <w:pStyle w:val="BodyTextIndent"/>
        <w:ind w:start="0" w:end="0"/>
        <w:rPr/>
      </w:pPr>
      <w:r>
        <w:rPr/>
        <w:tab/>
        <w:t>SECTION 3.04</w:t>
        <w:tab/>
      </w:r>
      <w:r>
        <w:rPr>
          <w:u w:val="single"/>
        </w:rPr>
        <w:t>Successors</w:t>
      </w:r>
      <w:r>
        <w:rPr/>
        <w:t>.</w:t>
      </w:r>
    </w:p>
    <w:p>
      <w:pPr>
        <w:pStyle w:val="BodyTextIndent"/>
        <w:ind w:start="0" w:end="0"/>
        <w:rPr/>
      </w:pPr>
      <w:r>
        <w:rPr/>
      </w:r>
    </w:p>
    <w:p>
      <w:pPr>
        <w:pStyle w:val="BodyTextIndent"/>
        <w:ind w:start="0" w:end="0"/>
        <w:rPr/>
      </w:pPr>
      <w:r>
        <w:rPr/>
        <w:tab/>
        <w:t>All agreements of the Company and the Guarantors in this Supplemental Indenture shall bind their successors.  All agreements of the Trustee in this Supplemental Indenture shall bind its successors.</w:t>
      </w:r>
    </w:p>
    <w:p>
      <w:pPr>
        <w:pStyle w:val="BodyTextIndent"/>
        <w:ind w:start="0" w:end="0"/>
        <w:rPr/>
      </w:pPr>
      <w:r>
        <w:rPr/>
      </w:r>
    </w:p>
    <w:p>
      <w:pPr>
        <w:pStyle w:val="BodyTextIndent"/>
        <w:ind w:start="0" w:end="0"/>
        <w:rPr/>
      </w:pPr>
      <w:r>
        <w:rPr/>
        <w:tab/>
        <w:t>SECTION 3.05</w:t>
        <w:tab/>
      </w:r>
      <w:r>
        <w:rPr>
          <w:u w:val="single"/>
        </w:rPr>
        <w:t>Severability</w:t>
      </w:r>
      <w:r>
        <w:rPr/>
        <w:t xml:space="preserve">. </w:t>
      </w:r>
    </w:p>
    <w:p>
      <w:pPr>
        <w:pStyle w:val="BodyTextIndent"/>
        <w:ind w:start="0" w:end="0"/>
        <w:rPr/>
      </w:pPr>
      <w:r>
        <w:rPr/>
      </w:r>
    </w:p>
    <w:p>
      <w:pPr>
        <w:pStyle w:val="BodyTextIndent"/>
        <w:ind w:start="0" w:end="0"/>
        <w:rPr/>
      </w:pPr>
      <w:r>
        <w:rPr/>
        <w:tab/>
        <w:t>In case any provisions of this Supplemental Indenture shall be invalid, illegal or unenforceable, the validity, legality and enforceability of the remaining provisions shall not in any way be affected or impaired thereby.</w:t>
      </w:r>
    </w:p>
    <w:p>
      <w:pPr>
        <w:pStyle w:val="BodyTextIndent"/>
        <w:ind w:start="0" w:end="0"/>
        <w:rPr/>
      </w:pPr>
      <w:r>
        <w:rPr/>
      </w:r>
    </w:p>
    <w:p>
      <w:pPr>
        <w:pStyle w:val="BodyTextIndent"/>
        <w:ind w:start="0" w:end="0"/>
        <w:rPr/>
      </w:pPr>
      <w:r>
        <w:rPr/>
        <w:tab/>
        <w:t>SECTION 3.06</w:t>
        <w:tab/>
      </w:r>
      <w:r>
        <w:rPr>
          <w:u w:val="single"/>
        </w:rPr>
        <w:t>Effect of Headings</w:t>
      </w:r>
      <w:r>
        <w:rPr/>
        <w:t>.</w:t>
      </w:r>
    </w:p>
    <w:p>
      <w:pPr>
        <w:pStyle w:val="BodyTextIndent"/>
        <w:ind w:start="0" w:end="0"/>
        <w:rPr/>
      </w:pPr>
      <w:r>
        <w:rPr/>
      </w:r>
    </w:p>
    <w:p>
      <w:pPr>
        <w:pStyle w:val="BodyTextIndent"/>
        <w:ind w:start="0" w:end="0"/>
        <w:rPr/>
      </w:pPr>
      <w:r>
        <w:rPr/>
        <w:tab/>
        <w:t>The Headings of the Articles and Sections of this Supplemental Indenture have been inserted for convenience or reference only, are not to be considered a part of this Supplemental Indenture and shall in no way modify or restrict any of the terms or provisions hereof.</w:t>
      </w:r>
    </w:p>
    <w:p>
      <w:pPr>
        <w:pStyle w:val="BodyTextIndent"/>
        <w:ind w:start="0" w:end="0"/>
        <w:rPr/>
      </w:pPr>
      <w:r>
        <w:rPr/>
      </w:r>
    </w:p>
    <w:p>
      <w:pPr>
        <w:pStyle w:val="BodyTextIndent"/>
        <w:ind w:start="0" w:end="0"/>
        <w:rPr/>
      </w:pPr>
      <w:r>
        <w:rPr/>
        <w:tab/>
        <w:t>SECTION 3.07</w:t>
        <w:tab/>
      </w:r>
      <w:r>
        <w:rPr>
          <w:u w:val="single"/>
        </w:rPr>
        <w:t>Governing Law</w:t>
      </w:r>
      <w:r>
        <w:rPr/>
        <w:t>.</w:t>
      </w:r>
    </w:p>
    <w:p>
      <w:pPr>
        <w:pStyle w:val="BodyTextIndent"/>
        <w:ind w:start="0" w:end="0"/>
        <w:rPr/>
      </w:pPr>
      <w:r>
        <w:rPr/>
      </w:r>
    </w:p>
    <w:p>
      <w:pPr>
        <w:pStyle w:val="BodyTextIndent"/>
        <w:ind w:start="0" w:end="0"/>
        <w:rPr/>
      </w:pPr>
      <w:r>
        <w:rPr/>
        <w:tab/>
        <w:t>THE INTERNAL LAW OF THE STATE OF NEW YORK SHALL GOVERN AND BE USED TO CONSTRUE THIS SUPPLEMENTAL INDENTURE.</w:t>
      </w:r>
    </w:p>
    <w:p>
      <w:pPr>
        <w:pStyle w:val="BodyTextIndent"/>
        <w:ind w:start="0" w:end="0"/>
        <w:rPr/>
      </w:pPr>
      <w:r>
        <w:rPr/>
      </w:r>
    </w:p>
    <w:p>
      <w:pPr>
        <w:pStyle w:val="BodyTextIndent"/>
        <w:ind w:start="0" w:end="0"/>
        <w:rPr/>
      </w:pPr>
      <w:r>
        <w:rPr/>
        <w:tab/>
        <w:t>SECTION 3.08</w:t>
        <w:tab/>
      </w:r>
      <w:r>
        <w:rPr>
          <w:u w:val="single"/>
        </w:rPr>
        <w:t>Counterpart Originals</w:t>
      </w:r>
      <w:r>
        <w:rPr/>
        <w:t>.</w:t>
      </w:r>
    </w:p>
    <w:p>
      <w:pPr>
        <w:pStyle w:val="BodyTextIndent"/>
        <w:ind w:start="0" w:end="0"/>
        <w:rPr/>
      </w:pPr>
      <w:r>
        <w:rPr/>
      </w:r>
    </w:p>
    <w:p>
      <w:pPr>
        <w:pStyle w:val="BodyTextIndent"/>
        <w:ind w:start="0" w:end="0"/>
        <w:rPr/>
      </w:pPr>
      <w:r>
        <w:rPr/>
        <w:tab/>
        <w:t>The parties may sign any number of copies of this Supplemental Indenture.  Each signed copy shall be an original, but all of them together represent the same agreement.</w:t>
      </w:r>
    </w:p>
    <w:p>
      <w:pPr>
        <w:pStyle w:val="BodyTextIndent"/>
        <w:ind w:start="0" w:end="0"/>
        <w:rPr/>
      </w:pPr>
      <w:r>
        <w:rPr/>
      </w:r>
    </w:p>
    <w:p>
      <w:pPr>
        <w:pStyle w:val="BodyTextIndent"/>
        <w:ind w:start="0" w:end="0"/>
        <w:rPr/>
      </w:pPr>
      <w:r>
        <w:rPr/>
        <w:tab/>
        <w:t>SECTION 3.09</w:t>
        <w:tab/>
      </w:r>
      <w:r>
        <w:rPr>
          <w:u w:val="single"/>
        </w:rPr>
        <w:t>Acceptance by Trustee</w:t>
      </w:r>
      <w:r>
        <w:rPr/>
        <w:t>.</w:t>
      </w:r>
    </w:p>
    <w:p>
      <w:pPr>
        <w:pStyle w:val="BodyTextIndent"/>
        <w:ind w:start="0" w:end="0"/>
        <w:rPr/>
      </w:pPr>
      <w:r>
        <w:rPr/>
      </w:r>
    </w:p>
    <w:p>
      <w:pPr>
        <w:pStyle w:val="BodyTextIndent"/>
        <w:ind w:start="0" w:end="0"/>
        <w:rPr/>
      </w:pPr>
      <w:r>
        <w:rPr/>
        <w:tab/>
        <w:t>The Trustee hereby accepts the trusts in this Supplemental Indenture declared and provided upon the terms and conditions set forth in the Indenture.  The Trustee shall not be responsible in any manner whatsoever for the validity or sufficiency of this Supplemental Indenture or the due execution hereof by the Company or for or in respect of the recitals and statements contained herein, all of which recitals and statements are made solely by the Company.</w:t>
      </w:r>
    </w:p>
    <w:p>
      <w:pPr>
        <w:pStyle w:val="BodyTextIndent"/>
        <w:ind w:start="0" w:end="0"/>
        <w:rPr/>
      </w:pPr>
      <w:r>
        <w:rPr/>
      </w:r>
    </w:p>
    <w:p>
      <w:pPr>
        <w:pStyle w:val="BodyTextIndent"/>
        <w:ind w:start="0" w:end="0"/>
        <w:rPr/>
      </w:pPr>
      <w:r>
        <w:rPr/>
        <w:tab/>
        <w:t>SECTION 3.10</w:t>
        <w:tab/>
      </w:r>
      <w:r>
        <w:rPr>
          <w:u w:val="single"/>
        </w:rPr>
        <w:t>Notice to Holders</w:t>
      </w:r>
      <w:r>
        <w:rPr/>
        <w:t>.</w:t>
      </w:r>
    </w:p>
    <w:p>
      <w:pPr>
        <w:pStyle w:val="BodyTextIndent"/>
        <w:ind w:start="0" w:end="0"/>
        <w:rPr/>
      </w:pPr>
      <w:r>
        <w:rPr/>
      </w:r>
    </w:p>
    <w:p>
      <w:pPr>
        <w:pStyle w:val="BodyTextIndent"/>
        <w:ind w:start="0" w:end="0"/>
        <w:rPr/>
      </w:pPr>
      <w:r>
        <w:rPr/>
        <w:tab/>
        <w:t>After the Amendments become effective, the Company shall mail to the Holders a notice briefly describing such Amendments pursuant to Section 11.3 of the Indenture.</w:t>
      </w:r>
    </w:p>
    <w:p>
      <w:pPr>
        <w:pStyle w:val="BodyTextIndent"/>
        <w:ind w:start="0" w:end="0"/>
        <w:rPr/>
      </w:pPr>
      <w:r>
        <w:rPr/>
      </w:r>
    </w:p>
    <w:p>
      <w:pPr>
        <w:pStyle w:val="BodyTextIndent"/>
        <w:ind w:start="0" w:end="0"/>
        <w:rPr/>
      </w:pPr>
      <w:r>
        <w:rPr/>
        <w:tab/>
        <w:t>SECTION 3.11</w:t>
        <w:tab/>
      </w:r>
      <w:r>
        <w:rPr>
          <w:u w:val="single"/>
        </w:rPr>
        <w:t>Benefits of Supplemental Indenture</w:t>
      </w:r>
      <w:r>
        <w:rPr/>
        <w:t>.</w:t>
      </w:r>
    </w:p>
    <w:p>
      <w:pPr>
        <w:pStyle w:val="BodyTextIndent"/>
        <w:ind w:start="0" w:end="0"/>
        <w:rPr/>
      </w:pPr>
      <w:r>
        <w:rPr/>
      </w:r>
    </w:p>
    <w:p>
      <w:pPr>
        <w:pStyle w:val="BodyTextIndent"/>
        <w:ind w:start="0" w:end="0"/>
        <w:rPr/>
      </w:pPr>
      <w:r>
        <w:rPr/>
        <w:tab/>
        <w:t>Nothing in this Supplemental Indenture, express or implied, shall give to any Person, other than the parties hereto and their successors hereunder any Paying Agent and the Holders, any benefit or any legal or equitable right, remedy or claim under this Supplemental Indenture.</w:t>
      </w:r>
    </w:p>
    <w:p>
      <w:pPr>
        <w:pStyle w:val="BodyTextIndent"/>
        <w:ind w:start="0" w:end="0"/>
        <w:rPr/>
      </w:pPr>
      <w:r>
        <w:rPr/>
      </w:r>
    </w:p>
    <w:p>
      <w:pPr>
        <w:pStyle w:val="BodyTextIndent"/>
        <w:ind w:start="0" w:end="0"/>
        <w:rPr/>
      </w:pPr>
      <w:r>
        <w:rPr/>
        <w:tab/>
        <w:t>SECTION 3.12</w:t>
        <w:tab/>
      </w:r>
      <w:r>
        <w:rPr>
          <w:u w:val="single"/>
        </w:rPr>
        <w:t>Notation on Notes</w:t>
      </w:r>
      <w:r>
        <w:rPr/>
        <w:t>.</w:t>
      </w:r>
    </w:p>
    <w:p>
      <w:pPr>
        <w:pStyle w:val="BodyTextIndent"/>
        <w:ind w:start="0" w:end="0"/>
        <w:rPr/>
      </w:pPr>
      <w:r>
        <w:rPr/>
      </w:r>
    </w:p>
    <w:p>
      <w:pPr>
        <w:pStyle w:val="BodyTextIndent"/>
        <w:ind w:start="0" w:end="0"/>
        <w:rPr/>
      </w:pPr>
      <w:r>
        <w:rPr/>
        <w:tab/>
        <w:tab/>
        <w:t>(a)</w:t>
        <w:tab/>
        <w:t>Notes authenticated and delivered after the effectiveness of this Supplemental Indenture shall be imprinted by the Trustee substantially with the following notation pursuant to Section 11.6 of the Indenture:</w:t>
      </w:r>
    </w:p>
    <w:p>
      <w:pPr>
        <w:pStyle w:val="BodyTextIndent"/>
        <w:ind w:start="1440" w:end="0"/>
        <w:rPr/>
      </w:pPr>
      <w:r>
        <w:rPr/>
      </w:r>
    </w:p>
    <w:p>
      <w:pPr>
        <w:pStyle w:val="BodyTextIndent"/>
        <w:ind w:start="1440" w:end="720"/>
        <w:rPr/>
      </w:pPr>
      <w:r>
        <w:rPr/>
        <w:t>"Anker Coal Group, Inc. (the "Company"), certain subsidiaries of the Company and the Trustee have entered into a Supplemental Indenture dated as of January 1, 2001, pursuant to which Section 4.3 of the Indenture was amended (i) to eliminate the requirement that the Company file periodic reports with the Securities and Exchange Commission (the “SEC”) whether or not the Company would be required to do so by the rules and regulations of the SEC and (ii) to require the Company to make such period reports available to prospective investors upon their request. Reference is hereby made to such Supplemental Indenture for the full text of such amendments, copies of which are on file with the Trustee."</w:t>
      </w:r>
    </w:p>
    <w:p>
      <w:pPr>
        <w:pStyle w:val="BodyTextIndent"/>
        <w:ind w:start="1440" w:end="0"/>
        <w:rPr/>
      </w:pPr>
      <w:r>
        <w:rPr/>
      </w:r>
    </w:p>
    <w:p>
      <w:pPr>
        <w:pStyle w:val="BodyTextIndent"/>
        <w:ind w:start="0" w:end="0"/>
        <w:rPr/>
      </w:pPr>
      <w:r>
        <w:rPr/>
        <w:tab/>
        <w:tab/>
        <w:t>(b)</w:t>
        <w:tab/>
        <w:t>If the Company or the Trustee shall so determine, new Notes so modified as to conform, in the opinion of the Trustee and the Board of Directors, to any modification effected by this Supplemental Indenture shall be prepared and executed by the Company, authenticated by the Trustee and delivered in exchange for the Notes then outstanding.</w:t>
      </w:r>
    </w:p>
    <w:p>
      <w:pPr>
        <w:pStyle w:val="BodyTextIndent"/>
        <w:ind w:start="0" w:end="0"/>
        <w:rPr/>
      </w:pPr>
      <w:r>
        <w:rPr/>
      </w:r>
    </w:p>
    <w:p>
      <w:pPr>
        <w:pStyle w:val="BodyTextIndent"/>
        <w:ind w:start="0" w:end="0"/>
        <w:jc w:val="center"/>
        <w:rPr/>
      </w:pPr>
      <w:r>
        <w:rPr/>
        <w:t>***</w:t>
      </w:r>
    </w:p>
    <w:p>
      <w:pPr>
        <w:pStyle w:val="BodyTextIndent"/>
        <w:ind w:start="0" w:end="0"/>
        <w:jc w:val="center"/>
        <w:rPr/>
      </w:pPr>
      <w:r>
        <w:rPr/>
      </w:r>
    </w:p>
    <w:p>
      <w:pPr>
        <w:pStyle w:val="BodyTextIndent"/>
        <w:ind w:start="0" w:end="0"/>
        <w:jc w:val="center"/>
        <w:rPr/>
      </w:pPr>
      <w:r>
        <w:rPr/>
        <w:t>[SIGNATURES APPEAR ON THE FOLLOWING PAGE]</w:t>
      </w:r>
    </w:p>
    <w:p>
      <w:pPr>
        <w:pStyle w:val="Normal"/>
        <w:jc w:val="both"/>
        <w:rPr/>
      </w:pPr>
      <w:r>
        <w:rPr/>
      </w:r>
      <w:r>
        <w:br w:type="page"/>
      </w:r>
    </w:p>
    <w:p>
      <w:pPr>
        <w:pStyle w:val="Normal"/>
        <w:jc w:val="both"/>
        <w:rPr/>
      </w:pPr>
      <w:r>
        <w:rPr/>
        <w:tab/>
        <w:t>IN WITNESS HEREOF, the parties hereto have caused this Supplemental Indenture to be duly executed, effective as of the day and year first above written.</w:t>
      </w:r>
    </w:p>
    <w:p>
      <w:pPr>
        <w:pStyle w:val="Normal"/>
        <w:jc w:val="both"/>
        <w:rPr/>
      </w:pPr>
      <w:r>
        <w:rPr/>
      </w:r>
    </w:p>
    <w:p>
      <w:pPr>
        <w:pStyle w:val="Normal"/>
        <w:jc w:val="both"/>
        <w:rPr/>
      </w:pPr>
      <w:r>
        <w:rPr/>
        <w:tab/>
        <w:tab/>
        <w:tab/>
        <w:tab/>
        <w:tab/>
        <w:tab/>
        <w:t>ANKER COAL GROUP, INC.,</w:t>
      </w:r>
    </w:p>
    <w:p>
      <w:pPr>
        <w:pStyle w:val="Normal"/>
        <w:jc w:val="both"/>
        <w:rPr/>
      </w:pPr>
      <w:r>
        <w:rPr/>
        <w:tab/>
        <w:tab/>
        <w:tab/>
        <w:tab/>
        <w:tab/>
        <w:tab/>
        <w:t>as Issuer</w:t>
      </w:r>
    </w:p>
    <w:p>
      <w:pPr>
        <w:pStyle w:val="Normal"/>
        <w:jc w:val="both"/>
        <w:rPr/>
      </w:pPr>
      <w:r>
        <w:rPr/>
      </w:r>
    </w:p>
    <w:p>
      <w:pPr>
        <w:pStyle w:val="Normal"/>
        <w:jc w:val="both"/>
        <w:rPr/>
      </w:pPr>
      <w:r>
        <w:rPr/>
      </w:r>
    </w:p>
    <w:p>
      <w:pPr>
        <w:pStyle w:val="Normal"/>
        <w:jc w:val="both"/>
        <w:rPr/>
      </w:pPr>
      <w:r>
        <w:rPr/>
        <w:tab/>
        <w:tab/>
        <w:tab/>
        <w:tab/>
        <w:tab/>
        <w:tab/>
        <w:t>By:</w:t>
        <w:tab/>
        <w:t>____________________________________</w:t>
      </w:r>
    </w:p>
    <w:p>
      <w:pPr>
        <w:pStyle w:val="Normal"/>
        <w:jc w:val="both"/>
        <w:rPr/>
      </w:pPr>
      <w:r>
        <w:rPr/>
      </w:r>
    </w:p>
    <w:p>
      <w:pPr>
        <w:pStyle w:val="Normal"/>
        <w:jc w:val="both"/>
        <w:rPr/>
      </w:pPr>
      <w:r>
        <w:rPr/>
        <w:tab/>
        <w:tab/>
        <w:tab/>
        <w:tab/>
        <w:tab/>
        <w:tab/>
        <w:t>Name:</w:t>
        <w:tab/>
        <w:t>____________________________________</w:t>
      </w:r>
    </w:p>
    <w:p>
      <w:pPr>
        <w:pStyle w:val="Normal"/>
        <w:jc w:val="both"/>
        <w:rPr/>
      </w:pPr>
      <w:r>
        <w:rPr/>
      </w:r>
    </w:p>
    <w:p>
      <w:pPr>
        <w:pStyle w:val="Normal"/>
        <w:jc w:val="both"/>
        <w:rPr/>
      </w:pPr>
      <w:r>
        <w:rPr/>
        <w:tab/>
        <w:tab/>
        <w:tab/>
        <w:tab/>
        <w:tab/>
        <w:tab/>
        <w:t>Title:</w:t>
        <w:tab/>
        <w:t>____________________________________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 xml:space="preserve">THE BANK OF NEW YORK, </w:t>
      </w:r>
    </w:p>
    <w:p>
      <w:pPr>
        <w:pStyle w:val="Normal"/>
        <w:jc w:val="both"/>
        <w:rPr/>
      </w:pPr>
      <w:r>
        <w:rPr/>
        <w:tab/>
        <w:tab/>
        <w:tab/>
        <w:tab/>
        <w:tab/>
        <w:tab/>
        <w:t>as Trustee</w:t>
      </w:r>
    </w:p>
    <w:p>
      <w:pPr>
        <w:pStyle w:val="Normal"/>
        <w:jc w:val="both"/>
        <w:rPr/>
      </w:pPr>
      <w:r>
        <w:rPr/>
        <w:tab/>
        <w:tab/>
        <w:tab/>
        <w:tab/>
        <w:tab/>
        <w:tab/>
      </w:r>
    </w:p>
    <w:p>
      <w:pPr>
        <w:pStyle w:val="Normal"/>
        <w:jc w:val="both"/>
        <w:rPr/>
      </w:pPr>
      <w:r>
        <w:rPr/>
      </w:r>
    </w:p>
    <w:p>
      <w:pPr>
        <w:pStyle w:val="Normal"/>
        <w:jc w:val="both"/>
        <w:rPr/>
      </w:pPr>
      <w:r>
        <w:rPr/>
        <w:tab/>
        <w:tab/>
        <w:tab/>
        <w:tab/>
        <w:tab/>
        <w:tab/>
        <w:t>By:</w:t>
        <w:tab/>
        <w:t>____________________________________</w:t>
      </w:r>
    </w:p>
    <w:p>
      <w:pPr>
        <w:pStyle w:val="Normal"/>
        <w:jc w:val="both"/>
        <w:rPr/>
      </w:pPr>
      <w:r>
        <w:rPr/>
      </w:r>
    </w:p>
    <w:p>
      <w:pPr>
        <w:pStyle w:val="Normal"/>
        <w:jc w:val="both"/>
        <w:rPr/>
      </w:pPr>
      <w:r>
        <w:rPr/>
        <w:tab/>
        <w:tab/>
        <w:tab/>
        <w:tab/>
        <w:tab/>
        <w:tab/>
        <w:t>Name:</w:t>
        <w:tab/>
        <w:t>____________________________________</w:t>
      </w:r>
    </w:p>
    <w:p>
      <w:pPr>
        <w:pStyle w:val="Normal"/>
        <w:jc w:val="both"/>
        <w:rPr/>
      </w:pPr>
      <w:r>
        <w:rPr/>
      </w:r>
    </w:p>
    <w:p>
      <w:pPr>
        <w:pStyle w:val="Normal"/>
        <w:jc w:val="both"/>
        <w:rPr/>
      </w:pPr>
      <w:r>
        <w:rPr/>
        <w:tab/>
        <w:tab/>
        <w:tab/>
        <w:tab/>
        <w:tab/>
        <w:tab/>
        <w:t>Title:</w:t>
        <w:tab/>
        <w:t>____________________________________</w:t>
      </w:r>
    </w:p>
    <w:p>
      <w:pPr>
        <w:pStyle w:val="Normal"/>
        <w:jc w:val="both"/>
        <w:rPr/>
      </w:pPr>
      <w:r>
        <w:rPr/>
      </w:r>
    </w:p>
    <w:p>
      <w:pPr>
        <w:pStyle w:val="Normal"/>
        <w:jc w:val="both"/>
        <w:rPr/>
      </w:pPr>
      <w:r>
        <w:rPr/>
      </w:r>
    </w:p>
    <w:p>
      <w:pPr>
        <w:pStyle w:val="Normal"/>
        <w:jc w:val="both"/>
        <w:rPr/>
      </w:pPr>
      <w:r>
        <w:rPr/>
      </w:r>
    </w:p>
    <w:p>
      <w:pPr>
        <w:pStyle w:val="BodyText"/>
        <w:ind w:start="4320" w:end="0"/>
        <w:rPr/>
      </w:pPr>
      <w:r>
        <w:rPr/>
        <w:t xml:space="preserve">EACH ENTITY LISTED ON SCHEDULE I </w:t>
      </w:r>
    </w:p>
    <w:p>
      <w:pPr>
        <w:pStyle w:val="BodyText"/>
        <w:ind w:start="4320" w:end="0"/>
        <w:rPr/>
      </w:pPr>
      <w:r>
        <w:rPr/>
        <w:t>HERETO, as Guarantors</w:t>
      </w:r>
    </w:p>
    <w:p>
      <w:pPr>
        <w:pStyle w:val="Normal"/>
        <w:jc w:val="both"/>
        <w:rPr/>
      </w:pPr>
      <w:r>
        <w:rPr/>
      </w:r>
    </w:p>
    <w:p>
      <w:pPr>
        <w:pStyle w:val="Normal"/>
        <w:jc w:val="both"/>
        <w:rPr/>
      </w:pPr>
      <w:r>
        <w:rPr/>
      </w:r>
    </w:p>
    <w:p>
      <w:pPr>
        <w:pStyle w:val="Normal"/>
        <w:jc w:val="both"/>
        <w:rPr/>
      </w:pPr>
      <w:r>
        <w:rPr/>
        <w:tab/>
        <w:tab/>
        <w:tab/>
        <w:tab/>
        <w:tab/>
        <w:tab/>
        <w:t>By:</w:t>
        <w:tab/>
        <w:t>____________________________________</w:t>
      </w:r>
    </w:p>
    <w:p>
      <w:pPr>
        <w:pStyle w:val="Normal"/>
        <w:jc w:val="both"/>
        <w:rPr/>
      </w:pPr>
      <w:r>
        <w:rPr/>
      </w:r>
    </w:p>
    <w:p>
      <w:pPr>
        <w:pStyle w:val="Normal"/>
        <w:jc w:val="both"/>
        <w:rPr/>
      </w:pPr>
      <w:r>
        <w:rPr/>
        <w:tab/>
        <w:tab/>
        <w:tab/>
        <w:tab/>
        <w:tab/>
        <w:tab/>
        <w:t>Name:</w:t>
        <w:tab/>
        <w:t>____________________________________</w:t>
      </w:r>
    </w:p>
    <w:p>
      <w:pPr>
        <w:pStyle w:val="Normal"/>
        <w:jc w:val="both"/>
        <w:rPr/>
      </w:pPr>
      <w:r>
        <w:rPr/>
        <w:tab/>
        <w:tab/>
        <w:tab/>
        <w:tab/>
        <w:tab/>
        <w:tab/>
      </w:r>
    </w:p>
    <w:p>
      <w:pPr>
        <w:pStyle w:val="Normal"/>
        <w:jc w:val="both"/>
        <w:rPr/>
      </w:pPr>
      <w:r>
        <w:rPr/>
        <w:tab/>
        <w:tab/>
        <w:tab/>
        <w:tab/>
        <w:tab/>
        <w:tab/>
        <w:t>Title:</w:t>
        <w:tab/>
        <w:t>____________________________________</w:t>
      </w:r>
    </w:p>
    <w:p>
      <w:pPr>
        <w:pStyle w:val="Normal"/>
        <w:jc w:val="both"/>
        <w:rPr/>
      </w:pPr>
      <w:r>
        <w:rPr/>
      </w:r>
    </w:p>
    <w:p>
      <w:pPr>
        <w:pStyle w:val="Normal"/>
        <w:jc w:val="both"/>
        <w:rPr/>
      </w:pPr>
      <w:r>
        <w:rPr/>
      </w:r>
    </w:p>
    <w:p>
      <w:pPr>
        <w:pStyle w:val="Normal"/>
        <w:jc w:val="both"/>
        <w:rPr>
          <w:sz w:val="16"/>
        </w:rPr>
      </w:pPr>
      <w:r>
        <w:rPr>
          <w:sz w:val="16"/>
        </w:rPr>
        <w:t>Legal3\Acgi\1999Senior Note Indenture\Supplemental Indenture\Supplemental Indenture (v.1).doc</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sz w:val="16"/>
        </w:rPr>
      </w:pPr>
      <w:r>
        <w:rPr>
          <w:sz w:val="16"/>
        </w:rPr>
      </w:r>
    </w:p>
    <w:p>
      <w:pPr>
        <w:pStyle w:val="Heading"/>
        <w:rPr/>
      </w:pPr>
      <w:r>
        <w:rPr/>
        <w:t>SCHEDULE I</w:t>
      </w:r>
    </w:p>
    <w:p>
      <w:pPr>
        <w:pStyle w:val="Normal"/>
        <w:jc w:val="center"/>
        <w:rPr>
          <w:b/>
        </w:rPr>
      </w:pPr>
      <w:r>
        <w:rPr>
          <w:b/>
        </w:rPr>
      </w:r>
    </w:p>
    <w:p>
      <w:pPr>
        <w:pStyle w:val="Subtitle"/>
        <w:rPr/>
      </w:pPr>
      <w:r>
        <w:rPr/>
        <w:t>SUBSIDIARIES</w:t>
      </w:r>
    </w:p>
    <w:p>
      <w:pPr>
        <w:pStyle w:val="Normal"/>
        <w:jc w:val="center"/>
        <w:rPr/>
      </w:pPr>
      <w:r>
        <w:rPr/>
      </w:r>
    </w:p>
    <w:p>
      <w:pPr>
        <w:pStyle w:val="Normal"/>
        <w:jc w:val="center"/>
        <w:rPr/>
      </w:pPr>
      <w:r>
        <w:rPr/>
      </w:r>
    </w:p>
    <w:p>
      <w:pPr>
        <w:pStyle w:val="Heading1"/>
        <w:ind w:hanging="0" w:start="0"/>
        <w:rPr/>
      </w:pPr>
      <w:r>
        <w:rPr/>
        <w:t xml:space="preserve">Company </w:t>
        <w:tab/>
        <w:tab/>
        <w:tab/>
        <w:tab/>
        <w:tab/>
        <w:tab/>
        <w:tab/>
        <w:tab/>
        <w:t>State of Incorporation</w:t>
      </w:r>
    </w:p>
    <w:p>
      <w:pPr>
        <w:pStyle w:val="Normal"/>
        <w:jc w:val="both"/>
        <w:rPr/>
      </w:pPr>
      <w:r>
        <w:rPr/>
      </w:r>
    </w:p>
    <w:p>
      <w:pPr>
        <w:pStyle w:val="Normal"/>
        <w:jc w:val="both"/>
        <w:rPr/>
      </w:pPr>
      <w:r>
        <w:rPr/>
      </w:r>
    </w:p>
    <w:p>
      <w:pPr>
        <w:pStyle w:val="Normal"/>
        <w:jc w:val="both"/>
        <w:rPr/>
      </w:pPr>
      <w:r>
        <w:rPr/>
        <w:t>Anker Group, Inc.</w:t>
        <w:tab/>
        <w:tab/>
        <w:tab/>
        <w:tab/>
        <w:tab/>
        <w:tab/>
        <w:tab/>
        <w:tab/>
        <w:t>Delaware</w:t>
      </w:r>
    </w:p>
    <w:p>
      <w:pPr>
        <w:pStyle w:val="Normal"/>
        <w:jc w:val="both"/>
        <w:rPr/>
      </w:pPr>
      <w:r>
        <w:rPr/>
        <w:t>Anker Energy Corporation</w:t>
        <w:tab/>
        <w:tab/>
        <w:tab/>
        <w:tab/>
        <w:tab/>
        <w:tab/>
        <w:tab/>
        <w:t>Delaware</w:t>
      </w:r>
    </w:p>
    <w:p>
      <w:pPr>
        <w:pStyle w:val="Normal"/>
        <w:jc w:val="both"/>
        <w:rPr/>
      </w:pPr>
      <w:r>
        <w:rPr/>
        <w:t>Anker Power Services, Inc.</w:t>
        <w:tab/>
        <w:tab/>
        <w:tab/>
        <w:tab/>
        <w:tab/>
        <w:tab/>
        <w:tab/>
        <w:t>West Virginia</w:t>
      </w:r>
    </w:p>
    <w:p>
      <w:pPr>
        <w:pStyle w:val="Normal"/>
        <w:jc w:val="both"/>
        <w:rPr/>
      </w:pPr>
      <w:r>
        <w:rPr/>
        <w:t>Anker Virginia Mining Company, Inc.</w:t>
        <w:tab/>
        <w:tab/>
        <w:tab/>
        <w:tab/>
        <w:tab/>
        <w:t>Virginia</w:t>
      </w:r>
    </w:p>
    <w:p>
      <w:pPr>
        <w:pStyle w:val="Normal"/>
        <w:jc w:val="both"/>
        <w:rPr/>
      </w:pPr>
      <w:r>
        <w:rPr/>
        <w:t>Anker West Virginia Mining Company, Inc.</w:t>
        <w:tab/>
        <w:tab/>
        <w:tab/>
        <w:tab/>
        <w:tab/>
        <w:t>West Virginia</w:t>
      </w:r>
    </w:p>
    <w:p>
      <w:pPr>
        <w:pStyle w:val="Normal"/>
        <w:jc w:val="both"/>
        <w:rPr/>
      </w:pPr>
      <w:r>
        <w:rPr/>
        <w:t>Bronco Mining Company, Inc.</w:t>
        <w:tab/>
        <w:tab/>
        <w:tab/>
        <w:tab/>
        <w:tab/>
        <w:tab/>
        <w:t>West Virginia</w:t>
      </w:r>
    </w:p>
    <w:p>
      <w:pPr>
        <w:pStyle w:val="Normal"/>
        <w:jc w:val="both"/>
        <w:rPr/>
      </w:pPr>
      <w:r>
        <w:rPr/>
        <w:t>Hawthorne Coal Company, Inc.</w:t>
        <w:tab/>
        <w:tab/>
        <w:tab/>
        <w:tab/>
        <w:tab/>
        <w:tab/>
        <w:t>West Virginia</w:t>
      </w:r>
    </w:p>
    <w:p>
      <w:pPr>
        <w:pStyle w:val="Normal"/>
        <w:jc w:val="both"/>
        <w:rPr/>
      </w:pPr>
      <w:r>
        <w:rPr/>
        <w:t>Heather Glen Resources, Inc.</w:t>
        <w:tab/>
        <w:tab/>
        <w:tab/>
        <w:tab/>
        <w:tab/>
        <w:tab/>
        <w:tab/>
        <w:t>West Virginia</w:t>
      </w:r>
    </w:p>
    <w:p>
      <w:pPr>
        <w:pStyle w:val="Normal"/>
        <w:jc w:val="both"/>
        <w:rPr/>
      </w:pPr>
      <w:r>
        <w:rPr/>
        <w:t>Juliana Mining Company, Inc.</w:t>
        <w:tab/>
        <w:tab/>
        <w:tab/>
        <w:tab/>
        <w:tab/>
        <w:tab/>
        <w:t>West Virginia</w:t>
      </w:r>
    </w:p>
    <w:p>
      <w:pPr>
        <w:pStyle w:val="Normal"/>
        <w:jc w:val="both"/>
        <w:rPr/>
      </w:pPr>
      <w:r>
        <w:rPr/>
        <w:t>King Knob Coal Co., Inc.</w:t>
        <w:tab/>
        <w:tab/>
        <w:tab/>
        <w:tab/>
        <w:tab/>
        <w:tab/>
        <w:tab/>
        <w:t>West Virginia</w:t>
      </w:r>
    </w:p>
    <w:p>
      <w:pPr>
        <w:pStyle w:val="Normal"/>
        <w:jc w:val="both"/>
        <w:rPr/>
      </w:pPr>
      <w:r>
        <w:rPr/>
        <w:t>Marine Coal Sales Company, Inc.</w:t>
        <w:tab/>
        <w:tab/>
        <w:tab/>
        <w:tab/>
        <w:tab/>
        <w:tab/>
        <w:t>Delaware</w:t>
      </w:r>
    </w:p>
    <w:p>
      <w:pPr>
        <w:pStyle w:val="Normal"/>
        <w:jc w:val="both"/>
        <w:rPr/>
      </w:pPr>
      <w:r>
        <w:rPr/>
        <w:t>Melrose Coal Company, Inc.</w:t>
        <w:tab/>
        <w:tab/>
        <w:tab/>
        <w:tab/>
        <w:tab/>
        <w:tab/>
        <w:tab/>
        <w:t>West Virginia</w:t>
      </w:r>
    </w:p>
    <w:p>
      <w:pPr>
        <w:pStyle w:val="Normal"/>
        <w:jc w:val="both"/>
        <w:rPr/>
      </w:pPr>
      <w:r>
        <w:rPr/>
        <w:t>New Allegheny Land Holding Company, Inc.</w:t>
        <w:tab/>
        <w:tab/>
        <w:tab/>
        <w:tab/>
        <w:t>West Virginia</w:t>
      </w:r>
    </w:p>
    <w:p>
      <w:pPr>
        <w:pStyle w:val="Normal"/>
        <w:jc w:val="both"/>
        <w:rPr/>
      </w:pPr>
      <w:r>
        <w:rPr/>
        <w:t>Patriot Mining Company, Inc.</w:t>
        <w:tab/>
        <w:tab/>
        <w:tab/>
        <w:tab/>
        <w:tab/>
        <w:tab/>
        <w:t>West Virginia</w:t>
      </w:r>
    </w:p>
    <w:p>
      <w:pPr>
        <w:pStyle w:val="Normal"/>
        <w:jc w:val="both"/>
        <w:rPr/>
      </w:pPr>
      <w:r>
        <w:rPr/>
        <w:t>Simba Group, Inc.</w:t>
        <w:tab/>
        <w:tab/>
        <w:tab/>
        <w:tab/>
        <w:tab/>
        <w:tab/>
        <w:tab/>
        <w:tab/>
        <w:t>Delaware</w:t>
      </w:r>
    </w:p>
    <w:p>
      <w:pPr>
        <w:pStyle w:val="Normal"/>
        <w:jc w:val="both"/>
        <w:rPr/>
      </w:pPr>
      <w:r>
        <w:rPr/>
        <w:t>Upshur Property, Inc.</w:t>
        <w:tab/>
        <w:tab/>
        <w:tab/>
        <w:tab/>
        <w:tab/>
        <w:tab/>
        <w:tab/>
        <w:tab/>
        <w:t>Delaware</w:t>
      </w:r>
    </w:p>
    <w:p>
      <w:pPr>
        <w:pStyle w:val="Normal"/>
        <w:jc w:val="both"/>
        <w:rPr/>
      </w:pPr>
      <w:r>
        <w:rPr/>
        <w:t>Vantrans, Inc.</w:t>
        <w:tab/>
        <w:tab/>
        <w:tab/>
        <w:tab/>
        <w:tab/>
        <w:tab/>
        <w:tab/>
        <w:tab/>
        <w:tab/>
        <w:t>Delaware</w:t>
      </w:r>
    </w:p>
    <w:p>
      <w:pPr>
        <w:pStyle w:val="Normal"/>
        <w:jc w:val="both"/>
        <w:rPr/>
      </w:pPr>
      <w:r>
        <w:rPr/>
        <w:t>Vindex Energy Corporation</w:t>
        <w:tab/>
        <w:tab/>
        <w:tab/>
        <w:tab/>
        <w:tab/>
        <w:tab/>
        <w:tab/>
        <w:t>West Virginia</w:t>
      </w:r>
    </w:p>
    <w:p>
      <w:pPr>
        <w:pStyle w:val="Normal"/>
        <w:jc w:val="both"/>
        <w:rPr/>
      </w:pPr>
      <w:r>
        <w:rPr/>
      </w:r>
    </w:p>
    <w:p>
      <w:pPr>
        <w:pStyle w:val="Normal"/>
        <w:jc w:val="both"/>
        <w:rPr/>
      </w:pPr>
      <w:r>
        <w:rPr/>
      </w:r>
    </w:p>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2000-11-21T17:31:00Z</dcterms:created>
  <dc:creator>Office Professional</dc:creator>
  <dc:description/>
  <dc:language>en-CA</dc:language>
  <cp:lastModifiedBy>Office Professional</cp:lastModifiedBy>
  <cp:lastPrinted>2000-11-14T10:22:00Z</cp:lastPrinted>
  <dcterms:modified xsi:type="dcterms:W3CDTF">2000-11-21T18:12:00Z</dcterms:modified>
  <cp:revision>3</cp:revision>
  <dc:subject/>
  <dc:title>ANKER COAL GROUP, INC</dc:title>
</cp:coreProperties>
</file>