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120" w:type="dxa"/>
        <w:jc w:val="start"/>
        <w:tblInd w:w="-396" w:type="dxa"/>
        <w:tblLayout w:type="fixed"/>
        <w:tblCellMar>
          <w:top w:w="0" w:type="dxa"/>
          <w:start w:w="54" w:type="dxa"/>
          <w:bottom w:w="0" w:type="dxa"/>
          <w:end w:w="54" w:type="dxa"/>
        </w:tblCellMar>
      </w:tblPr>
      <w:tblGrid>
        <w:gridCol w:w="2610"/>
        <w:gridCol w:w="1800"/>
        <w:gridCol w:w="1530"/>
        <w:gridCol w:w="1170"/>
        <w:gridCol w:w="2191"/>
        <w:gridCol w:w="5819"/>
      </w:tblGrid>
      <w:tr>
        <w:trPr>
          <w:tblHeader w:val="true"/>
          <w:trHeight w:val="510" w:hRule="atLeast"/>
        </w:trPr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Heading1"/>
              <w:ind w:hanging="0" w:start="0"/>
              <w:rPr/>
            </w:pPr>
            <w:r>
              <w:rPr/>
              <w:t>GRANTOR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GRANTEE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FACILITIES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COVERED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bottom"/>
          </w:tcPr>
          <w:p>
            <w:pPr>
              <w:pStyle w:val="Normal"/>
              <w:widowControl w:val="false"/>
              <w:autoSpaceDE w:val="false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</w:t>
            </w:r>
          </w:p>
        </w:tc>
      </w:tr>
      <w:tr>
        <w:trPr>
          <w:trHeight w:val="2550" w:hRule="atLeast"/>
        </w:trPr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E. Lee Garrett Revocable Trust dated March 7, 1995 William L. Garrett and Bonnie Garrett Workman Co-Trustees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Midstream Services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Pipeline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11/3/1999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T49N R75W Sec. 32: SW/4NE/4; NE/4NE/4,  Sec. 33: N/2NW/4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  Agreement stipulates that the pipeline location, when built, must substantially conform to the location of the pipeline as shown on Exhibit “A”.</w:t>
            </w:r>
          </w:p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</w:t>
            </w:r>
            <w:r>
              <w:rPr>
                <w:rFonts w:cs="Arial" w:ascii="Arial" w:hAnsi="Arial"/>
                <w:sz w:val="20"/>
                <w:szCs w:val="20"/>
              </w:rPr>
              <w:t>:  Confirm plat attached to agreement and the as-built drawing prepared by Forerunner are substantially similar.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16" w:leader="none"/>
              </w:tabs>
              <w:autoSpaceDE w:val="false"/>
              <w:ind w:hanging="36" w:start="36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Receipt of Damage Payment in the file is not executed.</w:t>
            </w:r>
          </w:p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SUGGESTED CURATIVE:</w:t>
            </w:r>
            <w:r>
              <w:rPr>
                <w:rFonts w:cs="Arial" w:ascii="Arial" w:hAnsi="Arial"/>
                <w:sz w:val="20"/>
                <w:szCs w:val="20"/>
              </w:rPr>
              <w:t xml:space="preserve">  Determine if receipt was signed and returned.</w:t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216" w:leader="none"/>
              </w:tabs>
              <w:autoSpaceDE w:val="false"/>
              <w:ind w:hanging="0" w:start="-54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Prepare Memorandum of Agreement to file of record.</w:t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[See attached Memorandum of Right of Way (Maverick – Garrett  Trust]</w:t>
            </w:r>
          </w:p>
        </w:tc>
      </w:tr>
      <w:tr>
        <w:trPr>
          <w:trHeight w:val="3315" w:hRule="atLeast"/>
        </w:trPr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Barlow Livestock L.L.C.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Midstream Services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Pipeline Right of Way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11/5/1999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T49N-R75W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Sec. 28: SE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Sec. 33: N/2 of NE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Sec. 34: N/2 &amp; SE/4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Sec. 35: SW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  Agreement stipulates that the pipeline location, when built, must substantially conform to the location of the pipeline as shown on Exhibit “A”.</w:t>
            </w:r>
          </w:p>
          <w:p>
            <w:pPr>
              <w:pStyle w:val="Normal"/>
              <w:widowControl w:val="false"/>
              <w:autoSpaceDE w:val="false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</w:t>
            </w:r>
            <w:r>
              <w:rPr>
                <w:rFonts w:cs="Arial" w:ascii="Arial" w:hAnsi="Arial"/>
                <w:sz w:val="20"/>
                <w:szCs w:val="20"/>
              </w:rPr>
              <w:t>:  Confirm plat attached to agreement and the as-built drawing prepared by Forerunner are substantially similar.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16" w:leader="none"/>
              </w:tabs>
              <w:autoSpaceDE w:val="false"/>
              <w:ind w:hanging="54" w:start="0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Agreement is signed by Glenn J. Barlow as Managing Partner of Barlow Livestock, LLC.  I believe the correct reference should be that he is the managing member of the LLC.</w:t>
            </w:r>
          </w:p>
          <w:p>
            <w:pPr>
              <w:pStyle w:val="Normal"/>
              <w:widowControl w:val="false"/>
              <w:autoSpaceDE w:val="false"/>
              <w:ind w:start="-54" w:end="0"/>
              <w:jc w:val="both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REQUIRED:</w:t>
            </w:r>
            <w:r>
              <w:rPr>
                <w:rFonts w:cs="Arial" w:ascii="Arial" w:hAnsi="Arial"/>
                <w:sz w:val="20"/>
                <w:szCs w:val="20"/>
              </w:rPr>
              <w:t xml:space="preserve">  Provide documentation that Glenn J. Barlow as the Managing Member of the LLC is authorized to execute documents on behalf of the entity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.  [See attached Certificate of Incumbency (Maverick – Barlow ROW).doc]</w:t>
            </w:r>
          </w:p>
          <w:p>
            <w:pPr>
              <w:pStyle w:val="Normal"/>
              <w:widowControl w:val="false"/>
              <w:autoSpaceDE w:val="false"/>
              <w:ind w:start="-54" w:end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216" w:leader="none"/>
              </w:tabs>
              <w:autoSpaceDE w:val="false"/>
              <w:ind w:hanging="54" w:start="0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Prepare Memorandum of Agreement to file of record.</w:t>
            </w:r>
          </w:p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[See attached Memorandum of Right of Way (Maverick – Barlow ROW]</w:t>
            </w:r>
          </w:p>
        </w:tc>
      </w:tr>
      <w:tr>
        <w:trPr>
          <w:trHeight w:val="2805" w:hRule="atLeast"/>
        </w:trPr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Barlow Livestock L.L.C.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Midstream Services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Deadhorse Receipt Point – Receipt Point  Site Lease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11/5/1999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T49N R75W Sec. 35: SW/4 being 1 acre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  Agreement stipulates that the pipeline location, when built, must substantially conform to the location of the pipeline as shown on Exhibit “A”.</w:t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CURATIVE REQUIRED:  Confirm plat attached to agreement and the as-built drawing prepared by Forerunner are substantially similar.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6" w:leader="none"/>
              </w:tabs>
              <w:autoSpaceDE w:val="false"/>
              <w:ind w:start="-5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16" w:leader="none"/>
              </w:tabs>
              <w:autoSpaceDE w:val="false"/>
              <w:ind w:hanging="0" w:start="-54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Agreement is signed by Glenn J. Barlow as Managing Partner of Barlow Livestock, LLC.  I believe the correct reference should be that he is the managing member of the LLC.</w:t>
            </w:r>
          </w:p>
          <w:p>
            <w:pPr>
              <w:pStyle w:val="BodyTextIndent3"/>
              <w:rPr/>
            </w:pPr>
            <w:r>
              <w:rPr/>
              <w:t>CURATIVE REQUIRED:  Provide documentation that Glenn J. Barlow as the Managing Member of the LLC is authorized to execute documents on behalf of the entity.  [See attached Certificate of Incumbency (Maverick – Barlow Compressor Site).doc]</w:t>
            </w:r>
          </w:p>
          <w:p>
            <w:pPr>
              <w:pStyle w:val="Normal"/>
              <w:widowControl w:val="false"/>
              <w:autoSpaceDE w:val="false"/>
              <w:ind w:start="-54" w:end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216" w:leader="none"/>
              </w:tabs>
              <w:autoSpaceDE w:val="false"/>
              <w:ind w:hanging="54" w:start="0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Prepare Memorandum of Agreement to file of record.</w:t>
            </w:r>
          </w:p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[See attached Memorandum of Right of Way (Maverick – Barlow Compressor Site]</w:t>
            </w:r>
          </w:p>
        </w:tc>
      </w:tr>
      <w:tr>
        <w:trPr>
          <w:trHeight w:val="2040" w:hRule="atLeast"/>
        </w:trPr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Belle Fourche Pipeline Company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Enron Midstream Services,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Deadhorse Booster Station (Lease Agreement)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e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11/19/1999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T49N R75W Sec. 35: SW/4 leasing 150,000 sq. ft.</w:t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Indent"/>
              <w:jc w:val="both"/>
              <w:rPr/>
            </w:pPr>
            <w:r>
              <w:rPr/>
              <w:t>1.  There are no vesting documents for this file.</w:t>
            </w:r>
          </w:p>
          <w:p>
            <w:pPr>
              <w:pStyle w:val="Normal"/>
              <w:widowControl w:val="false"/>
              <w:autoSpaceDE w:val="false"/>
              <w:ind w:start="-54" w:end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CURATIVE REQUIRED:  Furnish vesting documents to indicate how title to this property has vested in Maverick Pipeline.</w:t>
            </w:r>
          </w:p>
          <w:p>
            <w:pPr>
              <w:pStyle w:val="Normal"/>
              <w:widowControl w:val="false"/>
              <w:autoSpaceDE w:val="false"/>
              <w:ind w:start="-54" w:end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autoSpaceDE w:val="false"/>
              <w:ind w:start="-54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2.  Prepare a Memorandum of Lease for recordation.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[See attached Memorandum of Lease (Maverick – Belle Fourche Pipeline Compressor Site).doc]</w:t>
            </w:r>
          </w:p>
        </w:tc>
      </w:tr>
      <w:tr>
        <w:trPr>
          <w:trHeight w:val="2040" w:hRule="atLeast"/>
        </w:trPr>
        <w:tc>
          <w:tcPr>
            <w:tcW w:w="26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Bureau of Land Management, Serial Number WYW-148345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Maverick Pipeline, LLC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50’ x 40’ ROW containing .046 acres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10/29/99</w:t>
            </w:r>
          </w:p>
        </w:tc>
        <w:tc>
          <w:tcPr>
            <w:tcW w:w="21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autoSpaceDE w:val="false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216" w:leader="none"/>
              </w:tabs>
              <w:autoSpaceDE w:val="false"/>
              <w:ind w:hanging="54" w:start="0" w:end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There are no documents in this file that indicate how EMS acquired its rights.  The leaseholder appears to be Maverick Pipeline.</w:t>
            </w:r>
          </w:p>
          <w:p>
            <w:pPr>
              <w:pStyle w:val="BodyTextIndent2"/>
              <w:rPr/>
            </w:pPr>
            <w:r>
              <w:rPr/>
              <w:t>CURATIVE REQUIRED:  Furnish a copy of the asgt. of this agreement to EMS and the BLM’s approval of such assignment.</w:t>
            </w:r>
          </w:p>
        </w:tc>
      </w:tr>
    </w:tbl>
    <w:p>
      <w:pPr>
        <w:pStyle w:val="Normal"/>
        <w:widowControl w:val="false"/>
        <w:autoSpaceDE w:val="false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FILENAME \p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/mnt/main-storage/datasets/enron-docs/doc/Supp.to_Schedule_3.1n__Maverick__9_13_00.doc</w:t>
    </w:r>
    <w:r>
      <w:rPr>
        <w:sz w:val="18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320" w:leader="none"/>
        <w:tab w:val="left" w:pos="5040" w:leader="none"/>
        <w:tab w:val="left" w:pos="5760" w:leader="none"/>
        <w:tab w:val="right" w:pos="8640" w:leader="none"/>
        <w:tab w:val="left" w:pos="10080" w:leader="none"/>
      </w:tabs>
      <w:rPr>
        <w:rFonts w:ascii="Arial" w:hAnsi="Arial" w:cs="Arial"/>
        <w:b/>
        <w:bCs/>
        <w:sz w:val="22"/>
      </w:rPr>
    </w:pPr>
    <w:r>
      <w:rPr>
        <w:rFonts w:cs="Arial" w:ascii="Arial" w:hAnsi="Arial"/>
        <w:sz w:val="22"/>
      </w:rPr>
      <w:t>Maverick System</w:t>
      <w:tab/>
      <w:tab/>
      <w:t xml:space="preserve"> </w:t>
    </w:r>
    <w:r>
      <w:rPr>
        <w:rFonts w:cs="Arial" w:ascii="Arial" w:hAnsi="Arial"/>
        <w:b/>
        <w:bCs/>
        <w:sz w:val="22"/>
      </w:rPr>
      <w:t>SUPPLEMENT TO SCHEDULE 3.1(n)</w:t>
    </w:r>
    <w:r>
      <w:rPr>
        <w:rFonts w:cs="Arial" w:ascii="Arial" w:hAnsi="Arial"/>
        <w:sz w:val="22"/>
      </w:rPr>
      <w:tab/>
    </w:r>
  </w:p>
  <w:p>
    <w:pPr>
      <w:pStyle w:val="Header"/>
      <w:tabs>
        <w:tab w:val="center" w:pos="4320" w:leader="none"/>
        <w:tab w:val="left" w:pos="5040" w:leader="none"/>
        <w:tab w:val="left" w:pos="5760" w:leader="none"/>
        <w:tab w:val="left" w:pos="6480" w:leader="none"/>
        <w:tab w:val="right" w:pos="8640" w:leader="none"/>
        <w:tab w:val="left" w:pos="10080" w:leader="none"/>
      </w:tabs>
      <w:ind w:end="90"/>
      <w:rPr/>
    </w:pPr>
    <w:r>
      <w:rPr>
        <w:rFonts w:cs="Arial" w:ascii="Arial" w:hAnsi="Arial"/>
        <w:sz w:val="22"/>
      </w:rPr>
      <w:t>Powder River Basin</w:t>
      <w:tab/>
      <w:tab/>
      <w:t xml:space="preserve">         </w:t>
    </w:r>
    <w:r>
      <w:rPr>
        <w:rFonts w:cs="Arial" w:ascii="Arial" w:hAnsi="Arial"/>
        <w:b/>
        <w:bCs/>
        <w:sz w:val="22"/>
      </w:rPr>
      <w:t>TITLE EXCEPTIONS TO</w:t>
    </w:r>
    <w:r>
      <w:rPr>
        <w:rFonts w:cs="Arial" w:ascii="Arial" w:hAnsi="Arial"/>
        <w:sz w:val="22"/>
      </w:rPr>
      <w:tab/>
      <w:tab/>
    </w:r>
  </w:p>
  <w:p>
    <w:pPr>
      <w:pStyle w:val="Header"/>
      <w:tabs>
        <w:tab w:val="center" w:pos="4320" w:leader="none"/>
        <w:tab w:val="left" w:pos="5040" w:leader="none"/>
        <w:tab w:val="left" w:pos="5760" w:leader="none"/>
        <w:tab w:val="right" w:pos="8640" w:leader="none"/>
        <w:tab w:val="left" w:pos="10080" w:leader="none"/>
      </w:tabs>
      <w:rPr>
        <w:rFonts w:ascii="Arial" w:hAnsi="Arial" w:cs="Arial"/>
        <w:sz w:val="22"/>
      </w:rPr>
    </w:pPr>
    <w:r>
      <w:rPr>
        <w:rFonts w:cs="Arial" w:ascii="Arial" w:hAnsi="Arial"/>
        <w:sz w:val="22"/>
      </w:rPr>
      <w:t>Campbell County, Wyoming</w:t>
      <w:tab/>
      <w:tab/>
    </w:r>
    <w:r>
      <w:rPr>
        <w:rFonts w:cs="Arial" w:ascii="Arial" w:hAnsi="Arial"/>
        <w:b/>
        <w:bCs/>
        <w:sz w:val="22"/>
      </w:rPr>
      <w:t>PURCHASE &amp; SALE AGREEMENT</w:t>
    </w:r>
  </w:p>
  <w:p>
    <w:pPr>
      <w:pStyle w:val="Header"/>
      <w:tabs>
        <w:tab w:val="center" w:pos="4320" w:leader="none"/>
        <w:tab w:val="left" w:pos="5040" w:leader="none"/>
        <w:tab w:val="right" w:pos="8640" w:leader="none"/>
        <w:tab w:val="left" w:pos="10080" w:leader="none"/>
      </w:tabs>
      <w:rPr/>
    </w:pPr>
    <w:r>
      <w:rPr>
        <w:rFonts w:cs="Arial" w:ascii="Arial" w:hAnsi="Arial"/>
        <w:sz w:val="22"/>
      </w:rPr>
      <w:t xml:space="preserve">Page </w:t>
    </w:r>
    <w:r>
      <w:rPr>
        <w:rFonts w:cs="Arial" w:ascii="Arial" w:hAnsi="Arial"/>
        <w:sz w:val="22"/>
      </w:rPr>
      <w:fldChar w:fldCharType="begin"/>
    </w:r>
    <w:r>
      <w:rPr>
        <w:sz w:val="22"/>
        <w:rFonts w:cs="Arial" w:ascii="Arial" w:hAnsi="Arial"/>
      </w:rPr>
      <w:instrText xml:space="preserve"> PAGE </w:instrText>
    </w:r>
    <w:r>
      <w:rPr>
        <w:sz w:val="22"/>
        <w:rFonts w:cs="Arial" w:ascii="Arial" w:hAnsi="Arial"/>
      </w:rPr>
      <w:fldChar w:fldCharType="separate"/>
    </w:r>
    <w:r>
      <w:rPr>
        <w:sz w:val="22"/>
        <w:rFonts w:cs="Arial" w:ascii="Arial" w:hAnsi="Arial"/>
      </w:rPr>
      <w:t>2</w:t>
    </w:r>
    <w:r>
      <w:rPr>
        <w:sz w:val="22"/>
        <w:rFonts w:cs="Arial" w:ascii="Arial" w:hAnsi="Arial"/>
      </w:rPr>
      <w:fldChar w:fldCharType="end"/>
    </w:r>
    <w:r>
      <w:rPr>
        <w:rFonts w:cs="Arial" w:ascii="Arial" w:hAnsi="Arial"/>
        <w:sz w:val="22"/>
      </w:rPr>
      <w:t xml:space="preserve"> of </w:t>
    </w:r>
    <w:r>
      <w:rPr>
        <w:rFonts w:cs="Arial" w:ascii="Arial" w:hAnsi="Arial"/>
        <w:sz w:val="22"/>
      </w:rPr>
      <w:fldChar w:fldCharType="begin"/>
    </w:r>
    <w:r>
      <w:rPr>
        <w:sz w:val="22"/>
        <w:rFonts w:cs="Arial" w:ascii="Arial" w:hAnsi="Arial"/>
      </w:rPr>
      <w:instrText xml:space="preserve"> NUMPAGES \* ARABIC </w:instrText>
    </w:r>
    <w:r>
      <w:rPr>
        <w:sz w:val="22"/>
        <w:rFonts w:cs="Arial" w:ascii="Arial" w:hAnsi="Arial"/>
      </w:rPr>
      <w:fldChar w:fldCharType="separate"/>
    </w:r>
    <w:r>
      <w:rPr>
        <w:sz w:val="22"/>
        <w:rFonts w:cs="Arial" w:ascii="Arial" w:hAnsi="Arial"/>
      </w:rPr>
      <w:t>2</w:t>
    </w:r>
    <w:r>
      <w:rPr>
        <w:sz w:val="22"/>
        <w:rFonts w:cs="Arial" w:ascii="Arial" w:hAnsi="Arial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decimal"/>
      <w:lvlText w:val="%1."/>
      <w:lvlJc w:val="start"/>
      <w:pPr>
        <w:tabs>
          <w:tab w:val="num" w:pos="306"/>
        </w:tabs>
        <w:ind w:start="306" w:hanging="360"/>
      </w:pPr>
      <w:rPr/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306"/>
        </w:tabs>
        <w:ind w:start="306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06"/>
        </w:tabs>
        <w:ind w:start="306" w:hanging="360"/>
      </w:pPr>
      <w:rPr/>
    </w:lvl>
  </w:abstractNum>
  <w:abstractNum w:abstractNumId="5">
    <w:lvl w:ilvl="0">
      <w:start w:val="2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widowControl w:val="false"/>
      <w:autoSpaceDE w:val="false"/>
      <w:ind w:hanging="0" w:start="-54" w:end="0"/>
    </w:pPr>
    <w:rPr>
      <w:rFonts w:ascii="Arial" w:hAnsi="Arial" w:cs="Arial"/>
      <w:sz w:val="20"/>
      <w:szCs w:val="20"/>
    </w:rPr>
  </w:style>
  <w:style w:type="paragraph" w:styleId="BodyTextIndent2">
    <w:name w:val="Body Text Indent 2"/>
    <w:basedOn w:val="Normal"/>
    <w:qFormat/>
    <w:pPr>
      <w:widowControl w:val="false"/>
      <w:autoSpaceDE w:val="false"/>
      <w:ind w:hanging="0" w:start="-54" w:end="0"/>
      <w:jc w:val="both"/>
    </w:pPr>
    <w:rPr>
      <w:rFonts w:ascii="Arial" w:hAnsi="Arial" w:cs="Arial"/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autoSpaceDE w:val="false"/>
      <w:ind w:hanging="0" w:start="-54" w:end="0"/>
      <w:jc w:val="both"/>
    </w:pPr>
    <w:rPr>
      <w:rFonts w:ascii="Arial" w:hAnsi="Arial" w:cs="Arial"/>
      <w:b/>
      <w:bCs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2000-09-13T19:15:00Z</dcterms:created>
  <dc:creator>awhite</dc:creator>
  <dc:description/>
  <dc:language>en-CA</dc:language>
  <cp:lastModifiedBy>gnemec</cp:lastModifiedBy>
  <cp:lastPrinted>2000-09-13T16:46:00Z</cp:lastPrinted>
  <dcterms:modified xsi:type="dcterms:W3CDTF">2000-09-13T19:36:00Z</dcterms:modified>
  <cp:revision>3</cp:revision>
  <dc:subject/>
  <dc:title>GRANTOR</dc:title>
</cp:coreProperties>
</file>