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header5.xml.rels" ContentType="application/vnd.openxmlformats-package.relationships+xml"/>
  <Override PartName="/word/_rels/header1.xml.rels" ContentType="application/vnd.openxmlformats-package.relationships+xml"/>
  <Override PartName="/word/_rels/header3.xml.rels" ContentType="application/vnd.openxmlformats-package.relationships+xml"/>
  <Override PartName="/word/header6.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media/image6.wmf" ContentType="image/x-wmf"/>
  <Override PartName="/word/media/image10.wmf" ContentType="image/x-wmf"/>
  <Override PartName="/word/media/image7.wmf" ContentType="image/x-wmf"/>
  <Override PartName="/word/media/image11.wmf" ContentType="image/x-wmf"/>
  <Override PartName="/word/media/image8.wmf" ContentType="image/x-wmf"/>
  <Override PartName="/word/media/image12.wmf" ContentType="image/x-wmf"/>
  <Override PartName="/word/media/image9.wmf" ContentType="image/x-wmf"/>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go"/>
        <w:rPr/>
      </w:pPr>
      <w:r>
        <w:rPr/>
        <w:drawing>
          <wp:inline distT="0" distB="0" distL="0" distR="0">
            <wp:extent cx="1804670" cy="635000"/>
            <wp:effectExtent l="0" t="0" r="0" b="0"/>
            <wp:docPr id="1"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title=""/>
                    <pic:cNvPicPr>
                      <a:picLocks noChangeAspect="1" noChangeArrowheads="1"/>
                    </pic:cNvPicPr>
                  </pic:nvPicPr>
                  <pic:blipFill>
                    <a:blip r:embed="rId2"/>
                    <a:srcRect l="3220" t="-57" r="-19" b="-57"/>
                    <a:stretch>
                      <a:fillRect/>
                    </a:stretch>
                  </pic:blipFill>
                  <pic:spPr bwMode="auto">
                    <a:xfrm>
                      <a:off x="0" y="0"/>
                      <a:ext cx="1804670" cy="635000"/>
                    </a:xfrm>
                    <a:prstGeom prst="rect">
                      <a:avLst/>
                    </a:prstGeom>
                    <a:noFill/>
                  </pic:spPr>
                </pic:pic>
              </a:graphicData>
            </a:graphic>
          </wp:inline>
        </w:drawing>
      </w:r>
      <w:r>
        <w:rPr/>
        <w:tab/>
        <w:t>credit suisse first boston corporation</w:t>
      </w:r>
    </w:p>
    <w:tbl>
      <w:tblPr>
        <w:tblW w:w="9900" w:type="dxa"/>
        <w:jc w:val="start"/>
        <w:tblInd w:w="-2322" w:type="dxa"/>
        <w:tblLayout w:type="fixed"/>
        <w:tblCellMar>
          <w:top w:w="0" w:type="dxa"/>
          <w:start w:w="108" w:type="dxa"/>
          <w:bottom w:w="0" w:type="dxa"/>
          <w:end w:w="108" w:type="dxa"/>
        </w:tblCellMar>
      </w:tblPr>
      <w:tblGrid>
        <w:gridCol w:w="2430"/>
        <w:gridCol w:w="5962"/>
        <w:gridCol w:w="1422"/>
        <w:gridCol w:w="86"/>
      </w:tblGrid>
      <w:tr>
        <w:trPr/>
        <w:tc>
          <w:tcPr>
            <w:tcW w:w="9900" w:type="dxa"/>
            <w:gridSpan w:val="4"/>
            <w:tcBorders/>
            <w:shd w:fill="00FFFF" w:val="clear"/>
          </w:tcPr>
          <w:p>
            <w:pPr>
              <w:pStyle w:val="OfficeBar"/>
              <w:widowControl/>
              <w:bidi w:val="0"/>
              <w:spacing w:lineRule="exact" w:line="310" w:before="40" w:after="120"/>
              <w:ind w:hanging="0" w:start="2477" w:end="0"/>
              <w:jc w:val="both"/>
              <w:rPr/>
            </w:pPr>
            <w:r>
              <w:rPr/>
              <w:t>Equity Research</w:t>
            </w:r>
          </w:p>
        </w:tc>
      </w:tr>
      <w:tr>
        <w:trPr/>
        <w:tc>
          <w:tcPr>
            <w:tcW w:w="2430" w:type="dxa"/>
            <w:tcBorders/>
            <w:tcMar>
              <w:start w:w="0" w:type="dxa"/>
              <w:end w:w="0" w:type="dxa"/>
            </w:tcMar>
          </w:tcPr>
          <w:p>
            <w:pPr>
              <w:pStyle w:val="Region"/>
              <w:widowControl/>
              <w:bidi w:val="0"/>
              <w:spacing w:before="120" w:after="0"/>
              <w:ind w:hanging="0" w:start="86" w:end="0"/>
              <w:rPr/>
            </w:pPr>
            <w:r>
              <w:rPr/>
              <w:t>Americas</w:t>
            </w:r>
          </w:p>
        </w:tc>
        <w:tc>
          <w:tcPr>
            <w:tcW w:w="5962" w:type="dxa"/>
            <w:tcBorders/>
            <w:tcMar>
              <w:start w:w="0" w:type="dxa"/>
              <w:end w:w="0" w:type="dxa"/>
            </w:tcMar>
          </w:tcPr>
          <w:p>
            <w:pPr>
              <w:pStyle w:val="Industry"/>
              <w:spacing w:before="120" w:after="0"/>
              <w:ind w:hanging="0" w:start="144" w:end="0"/>
              <w:rPr/>
            </w:pPr>
            <w:r>
              <w:rPr/>
              <w:t>U.S./Portfolio Strategy</w:t>
            </w:r>
          </w:p>
        </w:tc>
        <w:tc>
          <w:tcPr>
            <w:tcW w:w="1422" w:type="dxa"/>
            <w:tcBorders/>
            <w:tcMar>
              <w:start w:w="0" w:type="dxa"/>
              <w:end w:w="0" w:type="dxa"/>
            </w:tcMar>
          </w:tcPr>
          <w:p>
            <w:pPr>
              <w:pStyle w:val="IndustryDate"/>
              <w:spacing w:before="120" w:after="0"/>
              <w:ind w:hanging="0" w:start="0" w:end="0"/>
              <w:jc w:val="end"/>
              <w:rPr/>
            </w:pPr>
            <w:r>
              <w:rPr/>
              <w:t>June 4, 2001</w:t>
            </w:r>
          </w:p>
        </w:tc>
        <w:tc>
          <w:tcPr>
            <w:tcW w:w="86" w:type="dxa"/>
            <w:tcBorders/>
            <w:tcMar>
              <w:start w:w="0" w:type="dxa"/>
              <w:end w:w="0" w:type="dxa"/>
            </w:tcMar>
          </w:tcPr>
          <w:p>
            <w:pPr>
              <w:pStyle w:val="Normal"/>
              <w:snapToGrid w:val="false"/>
              <w:spacing w:before="0" w:after="120"/>
              <w:rPr/>
            </w:pPr>
            <w:r>
              <w:rPr/>
            </w:r>
          </w:p>
        </w:tc>
      </w:tr>
    </w:tbl>
    <w:p>
      <w:pPr>
        <w:sectPr>
          <w:headerReference w:type="default" r:id="rId3"/>
          <w:headerReference w:type="first" r:id="rId4"/>
          <w:footerReference w:type="default" r:id="rId5"/>
          <w:footerReference w:type="first" r:id="rId6"/>
          <w:type w:val="nextPage"/>
          <w:pgSz w:w="12240" w:h="15840"/>
          <w:pgMar w:left="3816" w:right="1008" w:gutter="0" w:header="720" w:top="776" w:footer="360" w:bottom="1080"/>
          <w:pgNumType w:fmt="decimal"/>
          <w:formProt w:val="false"/>
          <w:titlePg/>
          <w:textDirection w:val="lrTb"/>
          <w:docGrid w:type="default" w:linePitch="360" w:charSpace="0"/>
        </w:sectPr>
      </w:pPr>
    </w:p>
    <w:p>
      <w:pPr>
        <w:pStyle w:val="Normal"/>
        <w:pBdr>
          <w:bottom w:val="single" w:sz="6" w:space="1" w:color="000000"/>
        </w:pBdr>
        <w:spacing w:before="0" w:after="240"/>
        <w:ind w:start="-2340" w:end="-173"/>
        <w:rPr/>
      </w:pPr>
      <w:r>
        <w:rPr>
          <w:rStyle w:val="Marker"/>
          <w:b w:val="false"/>
          <w:caps w:val="false"/>
          <w:smallCaps w:val="false"/>
          <w:vanish w:val="false"/>
          <w:color w:val="000000"/>
        </w:rPr>
        <w:t>Do Not Delete this LINE!!!</w:t>
      </w:r>
    </w:p>
    <w:tbl>
      <w:tblPr>
        <w:tblW w:w="9873" w:type="dxa"/>
        <w:jc w:val="start"/>
        <w:tblInd w:w="-2430" w:type="dxa"/>
        <w:tblLayout w:type="fixed"/>
        <w:tblCellMar>
          <w:top w:w="0" w:type="dxa"/>
          <w:start w:w="0" w:type="dxa"/>
          <w:bottom w:w="0" w:type="dxa"/>
          <w:end w:w="0" w:type="dxa"/>
        </w:tblCellMar>
      </w:tblPr>
      <w:tblGrid>
        <w:gridCol w:w="2430"/>
        <w:gridCol w:w="6453"/>
        <w:gridCol w:w="972"/>
        <w:gridCol w:w="18"/>
      </w:tblGrid>
      <w:tr>
        <w:trPr>
          <w:trHeight w:val="1040" w:hRule="exact"/>
        </w:trPr>
        <w:tc>
          <w:tcPr>
            <w:tcW w:w="2430" w:type="dxa"/>
            <w:vMerge w:val="restart"/>
            <w:tcBorders/>
          </w:tcPr>
          <w:p>
            <w:pPr>
              <w:pStyle w:val="Name"/>
              <w:spacing w:before="60" w:after="0"/>
              <w:rPr/>
            </w:pPr>
            <w:r>
              <w:rPr/>
              <w:t>Tom Galvin</w:t>
            </w:r>
          </w:p>
          <w:p>
            <w:pPr>
              <w:pStyle w:val="Phone"/>
              <w:rPr/>
            </w:pPr>
            <w:r>
              <w:rPr/>
              <w:t>1 212 538 6693</w:t>
            </w:r>
          </w:p>
          <w:p>
            <w:pPr>
              <w:pStyle w:val="Email"/>
              <w:rPr/>
            </w:pPr>
            <w:r>
              <w:rPr/>
              <w:t>Thomas.galvin@csfb.com</w:t>
            </w:r>
          </w:p>
          <w:p>
            <w:pPr>
              <w:pStyle w:val="Name"/>
              <w:rPr/>
            </w:pPr>
            <w:r>
              <w:rPr/>
              <w:t>Rich Carter</w:t>
            </w:r>
          </w:p>
          <w:p>
            <w:pPr>
              <w:pStyle w:val="Phone"/>
              <w:rPr/>
            </w:pPr>
            <w:r>
              <w:rPr/>
              <w:t>1 212 538 6694</w:t>
              <w:br/>
              <w:t>rich.carter@csfb.com</w:t>
            </w:r>
          </w:p>
          <w:p>
            <w:pPr>
              <w:pStyle w:val="Phone"/>
              <w:rPr/>
            </w:pPr>
            <w:r>
              <w:rPr/>
            </w:r>
          </w:p>
          <w:p>
            <w:pPr>
              <w:pStyle w:val="Phone"/>
              <w:rPr>
                <w:b/>
              </w:rPr>
            </w:pPr>
            <w:r>
              <w:rPr>
                <w:b/>
              </w:rPr>
              <w:t>Michelle Bider</w:t>
            </w:r>
          </w:p>
          <w:p>
            <w:pPr>
              <w:pStyle w:val="Phone"/>
              <w:rPr/>
            </w:pPr>
            <w:r>
              <w:rPr/>
              <w:t>1 212 538 3914</w:t>
            </w:r>
          </w:p>
          <w:p>
            <w:pPr>
              <w:pStyle w:val="Phone"/>
              <w:rPr/>
            </w:pPr>
            <w:r>
              <w:rPr/>
              <w:t>michelle.bider@csfb.com</w:t>
            </w:r>
          </w:p>
        </w:tc>
        <w:tc>
          <w:tcPr>
            <w:tcW w:w="6453" w:type="dxa"/>
            <w:tcBorders/>
          </w:tcPr>
          <w:p>
            <w:pPr>
              <w:pStyle w:val="HeadTitle"/>
              <w:spacing w:before="0" w:after="120"/>
              <w:ind w:start="115" w:end="-115"/>
              <w:rPr>
                <w:b w:val="false"/>
              </w:rPr>
            </w:pPr>
            <w:r>
              <w:rPr/>
              <w:t>Surveying Sentiment</w:t>
            </w:r>
          </w:p>
        </w:tc>
        <w:tc>
          <w:tcPr>
            <w:tcW w:w="990" w:type="dxa"/>
            <w:vMerge w:val="restart"/>
            <w:tcBorders/>
          </w:tcPr>
          <w:p>
            <w:pPr>
              <w:pStyle w:val="Other"/>
              <w:snapToGrid w:val="false"/>
              <w:spacing w:before="156" w:after="0"/>
              <w:rPr>
                <w:b w:val="false"/>
              </w:rPr>
            </w:pPr>
            <w:r>
              <w:rPr>
                <w:b w:val="false"/>
              </w:rPr>
            </w:r>
          </w:p>
        </w:tc>
      </w:tr>
      <w:tr>
        <w:trPr>
          <w:trHeight w:val="560" w:hRule="exact"/>
        </w:trPr>
        <w:tc>
          <w:tcPr>
            <w:tcW w:w="2430" w:type="dxa"/>
            <w:vMerge w:val="continue"/>
            <w:tcBorders/>
          </w:tcPr>
          <w:p>
            <w:pPr>
              <w:pStyle w:val="Normal"/>
              <w:snapToGrid w:val="false"/>
              <w:spacing w:before="0" w:after="0"/>
              <w:ind w:start="-63" w:end="0"/>
              <w:rPr>
                <w:b/>
                <w:i/>
                <w:i/>
              </w:rPr>
            </w:pPr>
            <w:r>
              <w:rPr>
                <w:b/>
                <w:i/>
              </w:rPr>
            </w:r>
          </w:p>
        </w:tc>
        <w:tc>
          <w:tcPr>
            <w:tcW w:w="6453" w:type="dxa"/>
            <w:vMerge w:val="restart"/>
            <w:tcBorders/>
          </w:tcPr>
          <w:p>
            <w:pPr>
              <w:pStyle w:val="Subtitle"/>
              <w:widowControl/>
              <w:bidi w:val="0"/>
              <w:spacing w:before="0" w:after="480"/>
              <w:ind w:hanging="0" w:start="130" w:end="-115"/>
              <w:rPr/>
            </w:pPr>
            <w:r>
              <w:rPr/>
              <w:t xml:space="preserve">Weekly Market Comment </w:t>
            </w:r>
          </w:p>
        </w:tc>
        <w:tc>
          <w:tcPr>
            <w:tcW w:w="990" w:type="dxa"/>
            <w:vMerge w:val="continue"/>
            <w:tcBorders/>
          </w:tcPr>
          <w:p>
            <w:pPr>
              <w:pStyle w:val="Normal"/>
              <w:snapToGrid w:val="false"/>
              <w:spacing w:before="0" w:after="120"/>
              <w:ind w:hanging="7" w:start="-108" w:end="63"/>
              <w:jc w:val="end"/>
              <w:rPr>
                <w:b/>
                <w:sz w:val="48"/>
              </w:rPr>
            </w:pPr>
            <w:r>
              <w:rPr>
                <w:b/>
                <w:sz w:val="48"/>
              </w:rPr>
            </w:r>
          </w:p>
        </w:tc>
      </w:tr>
      <w:tr>
        <w:trPr>
          <w:trHeight w:val="465" w:hRule="atLeast"/>
        </w:trPr>
        <w:tc>
          <w:tcPr>
            <w:tcW w:w="2430" w:type="dxa"/>
            <w:vMerge w:val="continue"/>
            <w:tcBorders/>
          </w:tcPr>
          <w:p>
            <w:pPr>
              <w:pStyle w:val="Normal"/>
              <w:snapToGrid w:val="false"/>
              <w:spacing w:before="0" w:after="0"/>
              <w:ind w:start="-63" w:end="0"/>
              <w:rPr>
                <w:b/>
                <w:sz w:val="48"/>
              </w:rPr>
            </w:pPr>
            <w:r>
              <w:rPr>
                <w:b/>
                <w:sz w:val="48"/>
              </w:rPr>
            </w:r>
          </w:p>
        </w:tc>
        <w:tc>
          <w:tcPr>
            <w:tcW w:w="6453" w:type="dxa"/>
            <w:vMerge w:val="continue"/>
            <w:tcBorders/>
          </w:tcPr>
          <w:p>
            <w:pPr>
              <w:pStyle w:val="Normal"/>
              <w:snapToGrid w:val="false"/>
              <w:spacing w:before="0" w:after="120"/>
              <w:ind w:hanging="7" w:start="-108" w:end="-115"/>
              <w:rPr>
                <w:i/>
                <w:i/>
                <w:sz w:val="48"/>
              </w:rPr>
            </w:pPr>
            <w:r>
              <w:rPr>
                <w:i/>
                <w:sz w:val="48"/>
              </w:rPr>
            </w:r>
          </w:p>
        </w:tc>
        <w:tc>
          <w:tcPr>
            <w:tcW w:w="990" w:type="dxa"/>
            <w:vMerge w:val="continue"/>
            <w:tcBorders/>
          </w:tcPr>
          <w:p>
            <w:pPr>
              <w:pStyle w:val="Normal"/>
              <w:snapToGrid w:val="false"/>
              <w:spacing w:before="0" w:after="120"/>
              <w:ind w:hanging="7" w:start="-108" w:end="0"/>
              <w:jc w:val="end"/>
              <w:rPr>
                <w:b/>
                <w:i/>
                <w:i/>
                <w:sz w:val="48"/>
              </w:rPr>
            </w:pPr>
            <w:r>
              <w:rPr>
                <w:b/>
                <w:i/>
                <w:sz w:val="48"/>
              </w:rPr>
            </w:r>
          </w:p>
        </w:tc>
      </w:tr>
      <w:tr>
        <w:trPr>
          <w:trHeight w:val="1920" w:hRule="atLeast"/>
        </w:trPr>
        <w:tc>
          <w:tcPr>
            <w:tcW w:w="9855" w:type="dxa"/>
            <w:gridSpan w:val="3"/>
            <w:tcBorders/>
          </w:tcPr>
          <w:p>
            <w:pPr>
              <w:pStyle w:val="Summary"/>
              <w:numPr>
                <w:ilvl w:val="0"/>
                <w:numId w:val="0"/>
              </w:numPr>
              <w:spacing w:before="60" w:after="60"/>
              <w:ind w:hanging="0" w:start="0"/>
              <w:jc w:val="center"/>
              <w:rPr/>
            </w:pPr>
            <w:r>
              <w:rPr/>
              <w:drawing>
                <wp:inline distT="0" distB="0" distL="0" distR="0">
                  <wp:extent cx="5634355" cy="2937510"/>
                  <wp:effectExtent l="0" t="0" r="0" b="0"/>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7"/>
                          <a:srcRect l="-5" t="-9" r="-5" b="-9"/>
                          <a:stretch>
                            <a:fillRect/>
                          </a:stretch>
                        </pic:blipFill>
                        <pic:spPr bwMode="auto">
                          <a:xfrm>
                            <a:off x="0" y="0"/>
                            <a:ext cx="5634355" cy="2937510"/>
                          </a:xfrm>
                          <a:prstGeom prst="rect">
                            <a:avLst/>
                          </a:prstGeom>
                          <a:noFill/>
                        </pic:spPr>
                      </pic:pic>
                    </a:graphicData>
                  </a:graphic>
                </wp:inline>
              </w:drawing>
            </w:r>
          </w:p>
        </w:tc>
      </w:tr>
      <w:tr>
        <w:trPr>
          <w:trHeight w:val="1920" w:hRule="atLeast"/>
        </w:trPr>
        <w:tc>
          <w:tcPr>
            <w:tcW w:w="9855" w:type="dxa"/>
            <w:gridSpan w:val="3"/>
            <w:tcBorders/>
          </w:tcPr>
          <w:p>
            <w:pPr>
              <w:pStyle w:val="Summary"/>
              <w:numPr>
                <w:ilvl w:val="0"/>
                <w:numId w:val="3"/>
              </w:numPr>
              <w:spacing w:before="60" w:after="60"/>
              <w:rPr>
                <w:sz w:val="20"/>
              </w:rPr>
            </w:pPr>
            <w:r>
              <w:rPr>
                <w:sz w:val="20"/>
              </w:rPr>
              <w:t xml:space="preserve">Our CSFB Investor Survey suggests conservative expectations for economic growth in 2001 with a modest acceleration in 2002. While inflation is expected to remain benign, a growing number of respondents are worried about a pick-up in prices, particularly in energy land.   </w:t>
            </w:r>
          </w:p>
          <w:p>
            <w:pPr>
              <w:pStyle w:val="Summary"/>
              <w:numPr>
                <w:ilvl w:val="0"/>
                <w:numId w:val="3"/>
              </w:numPr>
              <w:rPr>
                <w:sz w:val="20"/>
              </w:rPr>
            </w:pPr>
            <w:r>
              <w:rPr>
                <w:sz w:val="20"/>
              </w:rPr>
              <w:t xml:space="preserve">The majority of those polled expect that the FOMC has another 50 basis points in its liquidity gun in this easing cycle while the long end of the yield curve is expected to become steeper as we move into 2002.  </w:t>
            </w:r>
          </w:p>
          <w:p>
            <w:pPr>
              <w:pStyle w:val="Summary"/>
              <w:numPr>
                <w:ilvl w:val="0"/>
                <w:numId w:val="3"/>
              </w:numPr>
              <w:rPr>
                <w:sz w:val="20"/>
              </w:rPr>
            </w:pPr>
            <w:r>
              <w:rPr>
                <w:sz w:val="20"/>
              </w:rPr>
              <w:t xml:space="preserve">It is interesting to note that 51% of survey respondents now believe consensus S&amp;P 500 earnings expectations for 2001 are too low and that double-digit EPS growth is a growing possibility for 2002 which should help rejuvenate capital spending programs and equity values.  That being said, the most frequent stock market concerns sited by investors relate to valuations and earnings. </w:t>
            </w:r>
          </w:p>
          <w:p>
            <w:pPr>
              <w:pStyle w:val="Summary"/>
              <w:numPr>
                <w:ilvl w:val="0"/>
                <w:numId w:val="3"/>
              </w:numPr>
              <w:rPr>
                <w:sz w:val="20"/>
              </w:rPr>
            </w:pPr>
            <w:r>
              <w:rPr>
                <w:sz w:val="20"/>
              </w:rPr>
              <w:t>Cash allocations remain high for fund managers and even greater allocations by individuals.  A whopping 91% of those surveyed think the market has left its bottom behind although 12-month targets are still modestly optimistic at 1400-1600 for the S&amp;P 500 and 2500-3000 for the Nasdaq Composite.</w:t>
            </w:r>
          </w:p>
          <w:p>
            <w:pPr>
              <w:pStyle w:val="Summary"/>
              <w:numPr>
                <w:ilvl w:val="0"/>
                <w:numId w:val="3"/>
              </w:numPr>
              <w:spacing w:before="60" w:after="60"/>
              <w:rPr>
                <w:sz w:val="20"/>
              </w:rPr>
            </w:pPr>
            <w:r>
              <w:rPr>
                <w:sz w:val="20"/>
              </w:rPr>
              <w:t xml:space="preserve">Small- and mid-cap growth performance return expectations have gone up while fewer investors view large-cap value as the place to be.  From a sector perspective, tech, health care and financials were most frequently noted winners while utilities, basics and transports appear the most vulnerable sectors.  </w:t>
            </w:r>
          </w:p>
        </w:tc>
      </w:tr>
    </w:tbl>
    <w:p>
      <w:pPr>
        <w:sectPr>
          <w:type w:val="continuous"/>
          <w:pgSz w:w="12240" w:h="15840"/>
          <w:pgMar w:left="3816" w:right="1008" w:gutter="0" w:header="720" w:top="776" w:footer="360" w:bottom="1080"/>
          <w:formProt w:val="false"/>
          <w:titlePg/>
          <w:textDirection w:val="lrTb"/>
          <w:docGrid w:type="default" w:linePitch="360" w:charSpace="0"/>
        </w:sectPr>
        <w:pStyle w:val="PlaceHolder"/>
        <w:rPr/>
      </w:pPr>
      <w:r>
        <w:rPr/>
        <w:t>Do Not Type Here!!!</w:t>
      </w:r>
    </w:p>
    <w:p>
      <w:pPr>
        <w:pStyle w:val="Head1"/>
        <w:ind w:start="-720" w:end="0"/>
        <w:rPr/>
      </w:pPr>
      <w:r>
        <w:rPr/>
        <w:t>Investment Summary</w:t>
      </w:r>
    </w:p>
    <w:p>
      <w:pPr>
        <w:pStyle w:val="Text"/>
        <w:ind w:start="-720" w:end="0"/>
        <w:rPr/>
      </w:pPr>
      <w:r>
        <w:rPr/>
        <w:t>Rather than spouting our market views from the get-go, we thought it more interesting to share the conclusions from institutional investors who were kind enough to participate in the semi-annual CSFB Investor Survey.  For the purposes of this summary, we will put forth “consensus” opinions based upon the most frequent response but greater detail is available on pages 8 to 11 which includes relevant results from surveys posted in April and December 2000.</w:t>
      </w:r>
    </w:p>
    <w:p>
      <w:pPr>
        <w:pStyle w:val="Text"/>
        <w:ind w:start="-720" w:end="0"/>
        <w:rPr/>
      </w:pPr>
      <w:r>
        <w:rPr>
          <w:b/>
          <w:i/>
        </w:rPr>
        <w:t>Investors are guardedly optimistic towards the economy</w:t>
      </w:r>
      <w:r>
        <w:rPr/>
        <w:t xml:space="preserve"> with GDP expected to grow by less than 2% in 2001 and then improve to between 2% and 4% gains in 2002.  </w:t>
      </w:r>
      <w:r>
        <w:rPr>
          <w:b/>
          <w:i/>
        </w:rPr>
        <w:t>Inflation concerns are building</w:t>
      </w:r>
      <w:r>
        <w:rPr/>
        <w:t xml:space="preserve"> when viewing the second most frequent response of 3% to 4% CPI growth next year anticipated by 33% of survey respondents as compared to only 4% of investors back in April 2000.  Interestingly, oil appears an unlikely culprit going forward, with crude prices expected to remain flat to down from here.  As for Federal Reserve activity, </w:t>
      </w:r>
      <w:r>
        <w:rPr>
          <w:b/>
          <w:i/>
        </w:rPr>
        <w:t>the consensus anticipates another 25 to 50 basis points of further stimulus in this easing cycle.</w:t>
      </w:r>
      <w:r>
        <w:rPr/>
        <w:t xml:space="preserve">  Most look for </w:t>
      </w:r>
      <w:r>
        <w:rPr>
          <w:b/>
          <w:i/>
        </w:rPr>
        <w:t xml:space="preserve">Treasury bond yields to stay flat through year-end but firm to between 5.5% to 6.0% by June 2002. </w:t>
      </w:r>
      <w:r>
        <w:rPr/>
        <w:t xml:space="preserve"> The recent track record on forecasting S&amp;P 500 profit growth has proven spotty at best for everyone.  At this point, 59% of survey participants estimate </w:t>
      </w:r>
      <w:r>
        <w:rPr>
          <w:b/>
          <w:i/>
        </w:rPr>
        <w:t>2002 profit gains of 5% to 10%</w:t>
      </w:r>
      <w:r>
        <w:rPr/>
        <w:t xml:space="preserve"> and nearly one-quarter envision double-digit improvement.  </w:t>
      </w:r>
      <w:r>
        <w:rPr>
          <w:b/>
          <w:i/>
        </w:rPr>
        <w:t xml:space="preserve">Capital spending should grow next year but lag earnings increases. </w:t>
      </w:r>
    </w:p>
    <w:p>
      <w:pPr>
        <w:pStyle w:val="Text"/>
        <w:ind w:start="-720" w:end="0"/>
        <w:rPr/>
      </w:pPr>
      <w:r>
        <w:rPr/>
        <w:t xml:space="preserve">Despite nearly all respondents believing the stock market has already bottomed, </w:t>
      </w:r>
      <w:r>
        <w:rPr>
          <w:b/>
          <w:i/>
        </w:rPr>
        <w:t>no one is in any hurry to draw-down cash reserves.</w:t>
      </w:r>
      <w:r>
        <w:rPr/>
        <w:t xml:space="preserve">  While roughly two-thirds of investors are maintaining 0% to 10% cash allocations, </w:t>
      </w:r>
      <w:r>
        <w:rPr>
          <w:b/>
          <w:i/>
        </w:rPr>
        <w:t>a historically large base of market players prefer to hold much more than 10% cash positions,</w:t>
      </w:r>
      <w:r>
        <w:rPr/>
        <w:t xml:space="preserve"> which is little changed from the market free fall conditions last December. </w:t>
      </w:r>
      <w:r>
        <w:rPr>
          <w:b/>
          <w:i/>
        </w:rPr>
        <w:t>Time, earnings, confidence, capital spending, lower energy prices and tax cuts are expected to be the key factors to drive stock prices higher.  Over the next three months, investors see the market range bound with less than 10% upside from current levels.  A modest majority (59%) can forecast an S&amp;P 500 level between 1400 and 1600 or an average of 20% appreciation by June 2002.</w:t>
      </w:r>
      <w:r>
        <w:rPr/>
        <w:t xml:space="preserve">  Optimism for a Nasdaq recovery continues to get shaved back.  In April 2000, the survey consensus looked for the Nasdaq hitting 4500 to 5500 by April 2001.  By December, the majority (33%) held 2001 year-end hopes of 3500 to 4000.  Now, a </w:t>
      </w:r>
      <w:r>
        <w:rPr>
          <w:b/>
          <w:i/>
        </w:rPr>
        <w:t xml:space="preserve">twelve-month outlook finds the consensus (44%) expecting 2500 to 3000 for the Nasdaq Composite or double the returns for the S&amp;P 500.  Similarly, tech, healthcare and financials are expected to lead the market but small and medium cap growth is substantially favored on a 2 to one basis over large cap.  </w:t>
      </w:r>
      <w:r>
        <w:rPr/>
        <w:t xml:space="preserve">Because </w:t>
      </w:r>
      <w:r>
        <w:rPr>
          <w:b/>
          <w:i/>
        </w:rPr>
        <w:t>utilities, basic materials, transports and energy are anticipated to lag the market in the next year,</w:t>
      </w:r>
      <w:r>
        <w:rPr/>
        <w:t xml:space="preserve"> </w:t>
      </w:r>
      <w:r>
        <w:rPr>
          <w:b/>
          <w:i/>
        </w:rPr>
        <w:t>the recent attractiveness for</w:t>
      </w:r>
      <w:r>
        <w:rPr/>
        <w:t xml:space="preserve"> </w:t>
      </w:r>
      <w:r>
        <w:rPr>
          <w:b/>
          <w:i/>
        </w:rPr>
        <w:t>value investing has lost momentum.</w:t>
      </w:r>
    </w:p>
    <w:p>
      <w:pPr>
        <w:pStyle w:val="Text"/>
        <w:ind w:start="-720" w:end="0"/>
        <w:rPr/>
      </w:pPr>
      <w:r>
        <w:rPr/>
        <w:t xml:space="preserve">The appetite for investing abroad is improving with 52% looking to expand their international exposure versus 24% of respondents last December.  </w:t>
      </w:r>
      <w:r>
        <w:rPr>
          <w:b/>
          <w:i/>
        </w:rPr>
        <w:t xml:space="preserve">Asia is substantially preferred over Europe </w:t>
      </w:r>
      <w:r>
        <w:rPr/>
        <w:t xml:space="preserve">which is the first such occurrence in the past four years of survey activity.  Lastly, </w:t>
      </w:r>
      <w:r>
        <w:rPr>
          <w:b/>
          <w:i/>
        </w:rPr>
        <w:t>when asked what stocks should be bought for your children/grandchildren today or shorted, GE and Microsoft are prominent on both lists.</w:t>
      </w:r>
      <w:r>
        <w:rPr/>
        <w:t xml:space="preserve">  </w:t>
      </w:r>
      <w:r>
        <w:rPr>
          <w:b/>
          <w:i/>
        </w:rPr>
        <w:t>AOL, Citigroup, Intel and Pfizer are common favorites to buy while Amazon and Yahoo are frequently mentioned short-selling candidates.</w:t>
      </w:r>
    </w:p>
    <w:p>
      <w:pPr>
        <w:pStyle w:val="Text"/>
        <w:ind w:start="-720" w:end="0"/>
        <w:rPr/>
      </w:pPr>
      <w:r>
        <w:rPr/>
        <w:t xml:space="preserve">Based on my experience in collecting survey opinions about every six months, I would view these recent results as constructive with a greater balance of skepticism and optimism than in times past.  A flaw in this survey was the fact that one could drive a truck through the ranges we provided for future stock market levels. Therefore, we are likely to overstate market enthusiasm.  </w:t>
      </w:r>
      <w:r>
        <w:rPr>
          <w:b/>
          <w:i/>
        </w:rPr>
        <w:t xml:space="preserve">My read between the lines is that no one is in a hurry to invest because few anticipate any rapid recovery in the economy and profits.  </w:t>
      </w:r>
      <w:r>
        <w:rPr/>
        <w:t>In addition, while we are sincerely thankful for respondents taking the time to fill out the survey, it is also important to analyze what investors are doing as much as what they are saying.</w:t>
      </w:r>
    </w:p>
    <w:p>
      <w:pPr>
        <w:pStyle w:val="Text"/>
        <w:ind w:start="-720" w:end="0"/>
        <w:rPr/>
      </w:pPr>
      <w:r>
        <w:rPr/>
        <w:t xml:space="preserve">While there may well be people who feel different than our survey participants, </w:t>
      </w:r>
      <w:r>
        <w:rPr>
          <w:b/>
          <w:i/>
        </w:rPr>
        <w:t>it is clear from put/call ratios, huge money market inflows and a preference for bond rather than equity funds that skepticism or outright pessimism is currently winning the day.</w:t>
      </w:r>
      <w:r>
        <w:rPr/>
        <w:t xml:space="preserve">  The S&amp;P 100 put-to-call ratio is currently back to record high levels reached at the end of March just prior to the market’s April record surge.  Over the past four weeks, money market funds have been averaging a stunning $11.6 billion per week of inflows, which even on good days are ten times greater than equity fund inflows.  Official 2001 data through April from the Investment Company Institute (ICI) demonstrated that money market funds have enjoyed $164.9 billion of inflows or eight times the paltry sum of $20.6 billion to equity funds, which was largely at tax time when investors funded IRAs and other tax sheltered accounts.  </w:t>
      </w:r>
      <w:r>
        <w:rPr>
          <w:b/>
          <w:i/>
        </w:rPr>
        <w:t>For the first time since 1991, bond funds are taking in more than equity funds</w:t>
      </w:r>
      <w:r>
        <w:rPr/>
        <w:t xml:space="preserve"> with $26.7 billion of flows thru April (see page 4).  Value oriented funds in equity land are absorbing as many dollars as aggressive growth and large growth funds for the first time in several years.  Investors were not impressed with the 41% rebound from the Nasdaq lows of April 4 given that 3 of the past 4 weeks and 6 of the past 9 weeks have seen outflows from tech sector funds.  </w:t>
      </w:r>
      <w:r>
        <w:rPr>
          <w:b/>
          <w:i/>
        </w:rPr>
        <w:t>The outflows from tech sector funds since last November are unprecedented.  Margin debt, which had been the heroin for day traders, is now 40% below the March 2000 high level and is showing no impetus to grow as of late.</w:t>
      </w:r>
    </w:p>
    <w:p>
      <w:pPr>
        <w:pStyle w:val="Text"/>
        <w:ind w:start="-720" w:end="0"/>
        <w:rPr/>
      </w:pPr>
      <w:r>
        <w:rPr/>
        <w:t xml:space="preserve">The bottom line is that conservative survey opinions are very much playing out in actual market activity.  No one is in any hurry, which ultimately is quite healthy for the market.  The days of instant gratification are over and expectations are similarly modest.  </w:t>
      </w:r>
      <w:r>
        <w:rPr>
          <w:b/>
          <w:i/>
        </w:rPr>
        <w:t>Since flows usually follow rather than lead performance, a contrarian would look at the tech sector fund outflows as well as the mountain of cash stuffed in money market funds yielding less than 4% as a huge opportunity.</w:t>
      </w:r>
      <w:r>
        <w:rPr/>
        <w:t xml:space="preserve">  Patience will likely prove an investment virtue given high put option activity and lots of liquidity in hibernation.</w:t>
      </w:r>
    </w:p>
    <w:p>
      <w:pPr>
        <w:pStyle w:val="Text"/>
        <w:ind w:start="-720" w:end="0"/>
        <w:rPr/>
      </w:pPr>
      <w:r>
        <w:rPr>
          <w:b/>
          <w:i/>
        </w:rPr>
        <w:t>Seasonality and recent economic data suggest that this market has a slow rather than fast burning fuse.</w:t>
      </w:r>
      <w:r>
        <w:rPr/>
        <w:t xml:space="preserve">  In a robust economy, the last month of each quarter often posted the strongest equity returns as earnings preannouncements and estimates were typically moving higher.  Then, when firms reported results the following month, investors usually sold on the news.  In a slow growth or receding economy, the last month of the quarter has proven a weak period for stocks (e.g. last March, June, September and December) as the earnings risk was mostly to the downside.  The preannouncement risk keeps buyers on the sidelines and short sellers active.  Correspondingly, reporting time (January, April, July and October) has proven strong seasonally as expectations are already low.  In other words, </w:t>
      </w:r>
      <w:r>
        <w:rPr>
          <w:b/>
          <w:i/>
        </w:rPr>
        <w:t>the time to be aggressive should be the last week of June, which coincidentally is when the FOMC meeting occurs (June 26) where 25 to 50 basis points of rate cuts will likely be administered.</w:t>
      </w:r>
      <w:r>
        <w:rPr/>
        <w:t xml:space="preserve">  Our three favorite indicators (confidence, new orders and credit spreads) were flat to positive last week but also not flagging a strong buy signal.  Consumer Confidence as measured by Conference Board posted a strong rebound, well above expectations, showing that the rise in unemployment claims is not drowning consumer attitudes.  </w:t>
      </w:r>
      <w:r>
        <w:rPr>
          <w:b/>
          <w:i/>
        </w:rPr>
        <w:t>NAPM new orders for May were essentially flat</w:t>
      </w:r>
      <w:r>
        <w:rPr/>
        <w:t xml:space="preserve"> with April at a level of 45.5 but far better than the January trough of 37.8.  The implication is that </w:t>
      </w:r>
      <w:r>
        <w:rPr>
          <w:b/>
          <w:i/>
        </w:rPr>
        <w:t>inventory liquidation is ongoing and a “U” not “V” shaped economic and profit recovery is most probable.</w:t>
      </w:r>
      <w:r>
        <w:rPr/>
        <w:t xml:space="preserve">  Credit spreads, like new orders, were flat on the week but significantly improved relative to the past several months suggesting </w:t>
      </w:r>
      <w:r>
        <w:rPr>
          <w:b/>
          <w:i/>
        </w:rPr>
        <w:t>the capital window is opening at a measured pace.  A look back at other economic recoveries shows intermittent pauses and usually a three-steps-forward-one-step back process. Today is no different.</w:t>
      </w:r>
      <w:r>
        <w:rPr/>
        <w:t xml:space="preserve">  Economic factors are collectively taking the appropriate path which, when combined with conservative investor positioning, argues that a gradual equity rebound will mark the summer days.</w:t>
      </w:r>
    </w:p>
    <w:p>
      <w:pPr>
        <w:pStyle w:val="Head1"/>
        <w:pBdr>
          <w:bottom w:val="single" w:sz="4" w:space="2" w:color="000000"/>
        </w:pBdr>
        <w:rPr/>
      </w:pPr>
      <w:r>
        <w:rPr/>
        <w:t>Conservatism – Not Just The New Political Administration</w:t>
      </w:r>
    </w:p>
    <w:p>
      <w:pPr>
        <w:pStyle w:val="Text"/>
        <w:rPr/>
      </w:pPr>
      <w:r>
        <w:rPr/>
        <w:t>Recently released data from the Investment Company Institute show that investors remain conservative in their asset allocation through April 2001.  </w:t>
      </w:r>
      <w:r>
        <w:rPr>
          <w:b/>
          <w:i/>
        </w:rPr>
        <w:t>Money market mutual funds have taken in 165 billion new dollars, nearly eight times the flow into equity mutual funds year-to-date.  Flow has been following performance with bond funds taking in $27 billion in 2001 thus far. The last year that bond funds took in more investor cash was in 1991.</w:t>
      </w:r>
      <w:r>
        <w:rPr/>
        <w:t xml:space="preserve">  Despite the recent rise in conservatism, equities still hold the lion-share of the $7 trillion mutual fund industry assets at 54%, followed by money market funds with 29%, bond funds with 12% and hybrid funds with 5%. </w:t>
      </w:r>
      <w:r>
        <w:rPr>
          <w:b/>
          <w:i/>
        </w:rPr>
        <w:t>However, the secular shift from money market and bond funds toward equities has clearly broken down and deserves ongoing scrutiny to determine if the investor psychology is permanently or only temporarily damaged.  We expect cash to return to stocks as recent dark economic clouds pass providing significant ammunition.</w:t>
      </w:r>
    </w:p>
    <w:p>
      <w:pPr>
        <w:pStyle w:val="Text"/>
        <w:ind w:start="-1440" w:end="0"/>
        <w:rPr/>
      </w:pPr>
      <w:r>
        <w:rPr/>
        <w:drawing>
          <wp:inline distT="0" distB="0" distL="0" distR="0">
            <wp:extent cx="5438140" cy="5627370"/>
            <wp:effectExtent l="0" t="0" r="0" b="0"/>
            <wp:docPr id="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title=""/>
                    <pic:cNvPicPr>
                      <a:picLocks noChangeAspect="1" noChangeArrowheads="1"/>
                    </pic:cNvPicPr>
                  </pic:nvPicPr>
                  <pic:blipFill>
                    <a:blip r:embed="rId8"/>
                    <a:srcRect l="-6" t="-5" r="-6" b="-5"/>
                    <a:stretch>
                      <a:fillRect/>
                    </a:stretch>
                  </pic:blipFill>
                  <pic:spPr bwMode="auto">
                    <a:xfrm>
                      <a:off x="0" y="0"/>
                      <a:ext cx="5438140" cy="5627370"/>
                    </a:xfrm>
                    <a:prstGeom prst="rect">
                      <a:avLst/>
                    </a:prstGeom>
                    <a:noFill/>
                  </pic:spPr>
                </pic:pic>
              </a:graphicData>
            </a:graphic>
          </wp:inline>
        </w:drawing>
      </w:r>
    </w:p>
    <w:p>
      <w:pPr>
        <w:pStyle w:val="Head1"/>
        <w:rPr/>
      </w:pPr>
      <w:r>
        <w:rPr/>
        <w:t>The Playing Field Is Being Leveled</w:t>
      </w:r>
    </w:p>
    <w:p>
      <w:pPr>
        <w:pStyle w:val="Text"/>
        <w:rPr/>
      </w:pPr>
      <w:r>
        <w:rPr/>
        <w:t>From a broad-market perspective, flow appears to follow performance.  </w:t>
      </w:r>
      <w:r>
        <w:rPr>
          <w:b/>
          <w:i/>
        </w:rPr>
        <w:t>After last years’ equity market drubbing, stock mutual funds so far in 2001 have attracted only $20 billion in new investment net of redemptions and exchanges.  What a difference a year can make as at this point last year, stock funds had taken in $175 billion.</w:t>
      </w:r>
      <w:r>
        <w:rPr/>
        <w:t xml:space="preserve">  </w:t>
      </w:r>
      <w:r>
        <w:rPr>
          <w:b/>
          <w:i/>
        </w:rPr>
        <w:t>The April net inflow of $19 billion is down 46% from the April 2000 level.  </w:t>
      </w:r>
      <w:r>
        <w:rPr/>
        <w:t xml:space="preserve"> However, it is comforting to see April inflows after two consecutive months of net outflows in February and March for the first time since 1991.  Once the asset allocation decision has been made, </w:t>
      </w:r>
      <w:r>
        <w:rPr>
          <w:b/>
          <w:i/>
        </w:rPr>
        <w:t>equity investors have also been putting a growing share of new funds into value areas like growth &amp; income and income equity funds which are now seriously competing with the growth guys.  Nonetheless, April data show that aggressive growth and growth funds still lead the pack despite outflows from tech sector.</w:t>
      </w:r>
    </w:p>
    <w:p>
      <w:pPr>
        <w:pStyle w:val="Text"/>
        <w:ind w:start="-2250" w:end="0"/>
        <w:jc w:val="center"/>
        <w:rPr/>
      </w:pPr>
      <w:r>
        <w:rPr/>
        <w:drawing>
          <wp:inline distT="0" distB="0" distL="0" distR="0">
            <wp:extent cx="5484495" cy="5807075"/>
            <wp:effectExtent l="0" t="0" r="0" b="0"/>
            <wp:docPr id="5"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title=""/>
                    <pic:cNvPicPr>
                      <a:picLocks noChangeAspect="1" noChangeArrowheads="1"/>
                    </pic:cNvPicPr>
                  </pic:nvPicPr>
                  <pic:blipFill>
                    <a:blip r:embed="rId9"/>
                    <a:srcRect l="-5" t="-5" r="-5" b="-5"/>
                    <a:stretch>
                      <a:fillRect/>
                    </a:stretch>
                  </pic:blipFill>
                  <pic:spPr bwMode="auto">
                    <a:xfrm>
                      <a:off x="0" y="0"/>
                      <a:ext cx="5484495" cy="5807075"/>
                    </a:xfrm>
                    <a:prstGeom prst="rect">
                      <a:avLst/>
                    </a:prstGeom>
                    <a:noFill/>
                  </pic:spPr>
                </pic:pic>
              </a:graphicData>
            </a:graphic>
          </wp:inline>
        </w:drawing>
      </w:r>
    </w:p>
    <w:p>
      <w:pPr>
        <w:pStyle w:val="Head1"/>
        <w:rPr/>
      </w:pPr>
      <w:r>
        <w:rPr/>
        <w:t>Flow Follows Performance – Doesn’t It?</w:t>
      </w:r>
    </w:p>
    <w:p>
      <w:pPr>
        <w:pStyle w:val="Text"/>
        <w:rPr/>
      </w:pPr>
      <w:r>
        <w:rPr/>
        <w:t>AMG Data tracks mutual fund flows on a weekly basis and provides economic sector specific data.  Intuitively we think that flow follows performance and the asset allocation shifts suggest that this is true on a macro basis.  However, the sector charts below illustrate that it is not always the case.  </w:t>
      </w:r>
      <w:r>
        <w:rPr>
          <w:b/>
          <w:i/>
        </w:rPr>
        <w:t>Given the positive performance of health care stocks in 2000 one would expect more aggressive buying in 2001</w:t>
      </w:r>
      <w:r>
        <w:rPr/>
        <w:t>, but to no avail.  </w:t>
      </w:r>
      <w:r>
        <w:rPr>
          <w:b/>
          <w:i/>
        </w:rPr>
        <w:t>While we have seen monies rotating into energy given the recent outperformance of those shares, technology fund flows still dwarf the monies flowing towards energy sector funds by a more than 2 to 1 ratio despite the dramatic descent of tech performance and money flow.</w:t>
      </w:r>
      <w:r>
        <w:rPr/>
        <w:t xml:space="preserve">  The relationship between international stock performance and international equity appetite from U.S. mutual fund investors appears to be limited.</w:t>
      </w:r>
    </w:p>
    <w:p>
      <w:pPr>
        <w:pStyle w:val="Text"/>
        <w:rPr/>
      </w:pPr>
      <w:r>
        <w:rPr/>
      </w:r>
    </w:p>
    <w:p>
      <w:pPr>
        <w:pStyle w:val="Text"/>
        <w:ind w:start="-2340" w:end="0"/>
        <w:jc w:val="center"/>
        <w:rPr/>
      </w:pPr>
      <w:r>
        <w:rPr/>
        <w:drawing>
          <wp:inline distT="0" distB="0" distL="0" distR="0">
            <wp:extent cx="6115050" cy="5633085"/>
            <wp:effectExtent l="0" t="0" r="0" b="0"/>
            <wp:docPr id="6"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title=""/>
                    <pic:cNvPicPr>
                      <a:picLocks noChangeAspect="1" noChangeArrowheads="1"/>
                    </pic:cNvPicPr>
                  </pic:nvPicPr>
                  <pic:blipFill>
                    <a:blip r:embed="rId10"/>
                    <a:srcRect l="-5" t="-5" r="-5" b="-5"/>
                    <a:stretch>
                      <a:fillRect/>
                    </a:stretch>
                  </pic:blipFill>
                  <pic:spPr bwMode="auto">
                    <a:xfrm>
                      <a:off x="0" y="0"/>
                      <a:ext cx="6115050" cy="5633085"/>
                    </a:xfrm>
                    <a:prstGeom prst="rect">
                      <a:avLst/>
                    </a:prstGeom>
                    <a:noFill/>
                  </pic:spPr>
                </pic:pic>
              </a:graphicData>
            </a:graphic>
          </wp:inline>
        </w:drawing>
      </w:r>
    </w:p>
    <w:p>
      <w:pPr>
        <w:pStyle w:val="Text"/>
        <w:ind w:start="-1440" w:end="0"/>
        <w:rPr/>
      </w:pPr>
      <w:r>
        <w:rPr/>
      </w:r>
    </w:p>
    <w:p>
      <w:pPr>
        <w:pStyle w:val="Head1"/>
        <w:rPr/>
      </w:pPr>
      <w:r>
        <w:rPr/>
        <w:t>Fixing Fixed Income Flows</w:t>
      </w:r>
    </w:p>
    <w:p>
      <w:pPr>
        <w:pStyle w:val="Text"/>
        <w:rPr/>
      </w:pPr>
      <w:r>
        <w:rPr/>
        <w:t xml:space="preserve">Given the outperformance of the average bond fund over the average stock fund this year (+2% versus down 4%, respectively according to Morningstar) as well as over the past year (+9% versus flat, respectively), bond mutual fund managers are finally being given monies to play with after suffering net outflows from December 1999 through February 2001.  </w:t>
      </w:r>
      <w:r>
        <w:rPr>
          <w:b/>
          <w:i/>
        </w:rPr>
        <w:t xml:space="preserve">While the high yield category's 20% share of year-to-date inflows is normal, we have expected to see high yield take more share given that historically elevated spread levels created one of the greatest high yield buying opportunities on record. </w:t>
      </w:r>
      <w:r>
        <w:rPr/>
        <w:t xml:space="preserve"> Surprisingly, high yield flows have been just larger than government bond funds.  Granted, global monetary authorities are trying to reflate economies which creates a back-up in treasury yields but also reduces the chances of defaults as economies recover.  This scenario should benefit corporate and high yield bond funds. Candidly, </w:t>
      </w:r>
      <w:r>
        <w:rPr>
          <w:b/>
          <w:i/>
        </w:rPr>
        <w:t>the dollars that have flown into bond funds on the corporate side are nowhere near the level of high-grade or high-yield debt that has been issued lately.</w:t>
      </w:r>
      <w:r>
        <w:rPr/>
        <w:t xml:space="preserve">  This suggests that it's the institutional managers, rather than the retail investor depicted in ICI's data that are sopping up all the new supply.</w:t>
      </w:r>
    </w:p>
    <w:p>
      <w:pPr>
        <w:pStyle w:val="Text"/>
        <w:ind w:start="-2250" w:end="0"/>
        <w:jc w:val="center"/>
        <w:rPr/>
      </w:pPr>
      <w:r>
        <w:rPr/>
        <w:drawing>
          <wp:inline distT="0" distB="0" distL="0" distR="0">
            <wp:extent cx="5054600" cy="5462270"/>
            <wp:effectExtent l="0" t="0" r="0" b="0"/>
            <wp:docPr id="7"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 title=""/>
                    <pic:cNvPicPr>
                      <a:picLocks noChangeAspect="1" noChangeArrowheads="1"/>
                    </pic:cNvPicPr>
                  </pic:nvPicPr>
                  <pic:blipFill>
                    <a:blip r:embed="rId11"/>
                    <a:srcRect l="-6" t="-5" r="-6" b="-5"/>
                    <a:stretch>
                      <a:fillRect/>
                    </a:stretch>
                  </pic:blipFill>
                  <pic:spPr bwMode="auto">
                    <a:xfrm>
                      <a:off x="0" y="0"/>
                      <a:ext cx="5054600" cy="5462270"/>
                    </a:xfrm>
                    <a:prstGeom prst="rect">
                      <a:avLst/>
                    </a:prstGeom>
                    <a:noFill/>
                  </pic:spPr>
                </pic:pic>
              </a:graphicData>
            </a:graphic>
          </wp:inline>
        </w:drawing>
      </w:r>
    </w:p>
    <w:p>
      <w:pPr>
        <w:pStyle w:val="Text"/>
        <w:ind w:start="-1440" w:end="0"/>
        <w:rPr/>
      </w:pPr>
      <w:r>
        <w:rPr/>
      </w:r>
    </w:p>
    <w:p>
      <w:pPr>
        <w:pStyle w:val="Text"/>
        <w:ind w:start="-2430" w:end="0"/>
        <w:jc w:val="center"/>
        <w:rPr/>
      </w:pPr>
      <w:r>
        <w:rPr/>
        <w:drawing>
          <wp:inline distT="0" distB="0" distL="0" distR="0">
            <wp:extent cx="6475730" cy="7790815"/>
            <wp:effectExtent l="0" t="0" r="0" b="0"/>
            <wp:docPr id="8"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descr="" title=""/>
                    <pic:cNvPicPr>
                      <a:picLocks noChangeAspect="1" noChangeArrowheads="1"/>
                    </pic:cNvPicPr>
                  </pic:nvPicPr>
                  <pic:blipFill>
                    <a:blip r:embed="rId12"/>
                    <a:srcRect l="-5" t="-4" r="-5" b="-4"/>
                    <a:stretch>
                      <a:fillRect/>
                    </a:stretch>
                  </pic:blipFill>
                  <pic:spPr bwMode="auto">
                    <a:xfrm>
                      <a:off x="0" y="0"/>
                      <a:ext cx="6475730" cy="7790815"/>
                    </a:xfrm>
                    <a:prstGeom prst="rect">
                      <a:avLst/>
                    </a:prstGeom>
                    <a:noFill/>
                  </pic:spPr>
                </pic:pic>
              </a:graphicData>
            </a:graphic>
          </wp:inline>
        </w:drawing>
      </w:r>
    </w:p>
    <w:p>
      <w:pPr>
        <w:pStyle w:val="Text"/>
        <w:rPr/>
      </w:pPr>
      <w:r>
        <w:rPr/>
      </w:r>
    </w:p>
    <w:p>
      <w:pPr>
        <w:pStyle w:val="Text"/>
        <w:ind w:start="-2430" w:end="0"/>
        <w:jc w:val="center"/>
        <w:rPr/>
      </w:pPr>
      <w:r>
        <w:rPr/>
        <w:drawing>
          <wp:inline distT="0" distB="0" distL="0" distR="0">
            <wp:extent cx="5992495" cy="8117205"/>
            <wp:effectExtent l="0" t="0" r="0" b="0"/>
            <wp:docPr id="9"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9" descr="" title=""/>
                    <pic:cNvPicPr>
                      <a:picLocks noChangeAspect="1" noChangeArrowheads="1"/>
                    </pic:cNvPicPr>
                  </pic:nvPicPr>
                  <pic:blipFill>
                    <a:blip r:embed="rId13"/>
                    <a:srcRect l="-5" t="-3" r="-5" b="-3"/>
                    <a:stretch>
                      <a:fillRect/>
                    </a:stretch>
                  </pic:blipFill>
                  <pic:spPr bwMode="auto">
                    <a:xfrm>
                      <a:off x="0" y="0"/>
                      <a:ext cx="5992495" cy="8117205"/>
                    </a:xfrm>
                    <a:prstGeom prst="rect">
                      <a:avLst/>
                    </a:prstGeom>
                    <a:noFill/>
                  </pic:spPr>
                </pic:pic>
              </a:graphicData>
            </a:graphic>
          </wp:inline>
        </w:drawing>
      </w:r>
    </w:p>
    <w:p>
      <w:pPr>
        <w:pStyle w:val="Text"/>
        <w:ind w:start="-2430" w:end="0"/>
        <w:jc w:val="center"/>
        <w:rPr/>
      </w:pPr>
      <w:r>
        <w:rPr/>
      </w:r>
    </w:p>
    <w:p>
      <w:pPr>
        <w:pStyle w:val="Text"/>
        <w:ind w:start="-2430" w:end="0"/>
        <w:jc w:val="center"/>
        <w:rPr/>
      </w:pPr>
      <w:r>
        <w:rPr/>
        <w:drawing>
          <wp:inline distT="0" distB="0" distL="0" distR="0">
            <wp:extent cx="6420485" cy="7624445"/>
            <wp:effectExtent l="0" t="0" r="0" b="0"/>
            <wp:docPr id="10" name="Image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 descr="" title=""/>
                    <pic:cNvPicPr>
                      <a:picLocks noChangeAspect="1" noChangeArrowheads="1"/>
                    </pic:cNvPicPr>
                  </pic:nvPicPr>
                  <pic:blipFill>
                    <a:blip r:embed="rId14"/>
                    <a:srcRect l="-5" t="-4" r="-5" b="-4"/>
                    <a:stretch>
                      <a:fillRect/>
                    </a:stretch>
                  </pic:blipFill>
                  <pic:spPr bwMode="auto">
                    <a:xfrm>
                      <a:off x="0" y="0"/>
                      <a:ext cx="6420485" cy="7624445"/>
                    </a:xfrm>
                    <a:prstGeom prst="rect">
                      <a:avLst/>
                    </a:prstGeom>
                    <a:noFill/>
                  </pic:spPr>
                </pic:pic>
              </a:graphicData>
            </a:graphic>
          </wp:inline>
        </w:drawing>
      </w:r>
    </w:p>
    <w:p>
      <w:pPr>
        <w:pStyle w:val="Text"/>
        <w:ind w:start="-2430" w:end="0"/>
        <w:jc w:val="center"/>
        <w:rPr/>
      </w:pPr>
      <w:r>
        <w:rPr/>
      </w:r>
    </w:p>
    <w:p>
      <w:pPr>
        <w:pStyle w:val="Text"/>
        <w:ind w:start="-2430" w:end="0"/>
        <w:jc w:val="center"/>
        <w:rPr/>
      </w:pPr>
      <w:r>
        <w:rPr/>
      </w:r>
    </w:p>
    <w:p>
      <w:pPr>
        <w:pStyle w:val="Text"/>
        <w:ind w:start="-2430" w:end="0"/>
        <w:jc w:val="center"/>
        <w:rPr/>
      </w:pPr>
      <w:r>
        <w:rPr/>
      </w:r>
    </w:p>
    <w:p>
      <w:pPr>
        <w:pStyle w:val="Text"/>
        <w:ind w:start="-2430" w:end="0"/>
        <w:jc w:val="center"/>
        <w:rPr/>
      </w:pPr>
      <w:r>
        <w:rPr/>
        <w:drawing>
          <wp:inline distT="0" distB="0" distL="0" distR="0">
            <wp:extent cx="6364605" cy="7249160"/>
            <wp:effectExtent l="0" t="0" r="0" b="0"/>
            <wp:docPr id="11" name="Image1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1" descr="" title=""/>
                    <pic:cNvPicPr>
                      <a:picLocks noChangeAspect="1" noChangeArrowheads="1"/>
                    </pic:cNvPicPr>
                  </pic:nvPicPr>
                  <pic:blipFill>
                    <a:blip r:embed="rId15"/>
                    <a:srcRect l="-5" t="-4" r="-5" b="-4"/>
                    <a:stretch>
                      <a:fillRect/>
                    </a:stretch>
                  </pic:blipFill>
                  <pic:spPr bwMode="auto">
                    <a:xfrm>
                      <a:off x="0" y="0"/>
                      <a:ext cx="6364605" cy="7249160"/>
                    </a:xfrm>
                    <a:prstGeom prst="rect">
                      <a:avLst/>
                    </a:prstGeom>
                    <a:noFill/>
                  </pic:spPr>
                </pic:pic>
              </a:graphicData>
            </a:graphic>
          </wp:inline>
        </w:drawing>
      </w:r>
    </w:p>
    <w:p>
      <w:pPr>
        <w:pStyle w:val="Text"/>
        <w:ind w:start="-2430" w:end="0"/>
        <w:jc w:val="center"/>
        <w:rPr/>
      </w:pPr>
      <w:r>
        <w:rPr/>
      </w:r>
    </w:p>
    <w:p>
      <w:pPr>
        <w:pStyle w:val="Text"/>
        <w:ind w:start="-2430" w:end="0"/>
        <w:jc w:val="center"/>
        <w:rPr/>
      </w:pPr>
      <w:r>
        <w:rPr/>
      </w:r>
    </w:p>
    <w:p>
      <w:pPr>
        <w:pStyle w:val="Text"/>
        <w:ind w:start="-2430" w:end="0"/>
        <w:jc w:val="center"/>
        <w:rPr/>
      </w:pPr>
      <w:r>
        <w:rPr/>
      </w:r>
    </w:p>
    <w:p>
      <w:pPr>
        <w:pStyle w:val="Text"/>
        <w:ind w:start="-2430" w:end="0"/>
        <w:jc w:val="center"/>
        <w:rPr/>
      </w:pPr>
      <w:r>
        <w:rPr/>
        <w:drawing>
          <wp:inline distT="0" distB="0" distL="0" distR="0">
            <wp:extent cx="6423660" cy="7927340"/>
            <wp:effectExtent l="0" t="0" r="0" b="0"/>
            <wp:docPr id="12" name="Image1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2" descr="" title=""/>
                    <pic:cNvPicPr>
                      <a:picLocks noChangeAspect="1" noChangeArrowheads="1"/>
                    </pic:cNvPicPr>
                  </pic:nvPicPr>
                  <pic:blipFill>
                    <a:blip r:embed="rId16"/>
                    <a:srcRect l="-4" t="-3" r="-4" b="-3"/>
                    <a:stretch>
                      <a:fillRect/>
                    </a:stretch>
                  </pic:blipFill>
                  <pic:spPr bwMode="auto">
                    <a:xfrm>
                      <a:off x="0" y="0"/>
                      <a:ext cx="6423660" cy="7927340"/>
                    </a:xfrm>
                    <a:prstGeom prst="rect">
                      <a:avLst/>
                    </a:prstGeom>
                    <a:noFill/>
                  </pic:spPr>
                </pic:pic>
              </a:graphicData>
            </a:graphic>
          </wp:inline>
        </w:drawing>
      </w:r>
    </w:p>
    <w:p>
      <w:pPr>
        <w:pStyle w:val="NB"/>
        <w:rPr/>
      </w:pPr>
      <w:r>
        <w:rPr>
          <w:b/>
        </w:rPr>
        <w:t>N.B.:</w:t>
      </w:r>
      <w:r>
        <w:rPr/>
        <w:t xml:space="preserve"> CREDIT SUISSE FIRST BOSTON CORPORATION may have, within the last three years, served as a manager </w:t>
        <w:br/>
        <w:t xml:space="preserve">or co-manager of a public offering of securities for or makes a primary market in issues of any or all of the companies </w:t>
        <w:br/>
        <w:t>mentioned.</w:t>
      </w:r>
    </w:p>
    <w:p>
      <w:pPr>
        <w:pStyle w:val="Text"/>
        <w:rPr/>
      </w:pPr>
      <w:r>
        <w:rPr/>
      </w:r>
    </w:p>
    <w:p>
      <w:pPr>
        <w:pStyle w:val="Text"/>
        <w:rPr/>
      </w:pPr>
      <w:r>
        <w:rPr/>
      </w:r>
    </w:p>
    <w:p>
      <w:pPr>
        <w:sectPr>
          <w:headerReference w:type="default" r:id="rId17"/>
          <w:headerReference w:type="first" r:id="rId18"/>
          <w:footerReference w:type="default" r:id="rId19"/>
          <w:footerReference w:type="first" r:id="rId20"/>
          <w:type w:val="nextPage"/>
          <w:pgSz w:w="12240" w:h="15840"/>
          <w:pgMar w:left="3816" w:right="1195" w:gutter="0" w:header="547" w:top="1627" w:footer="360" w:bottom="1080"/>
          <w:pgNumType w:fmt="decimal"/>
          <w:formProt w:val="false"/>
          <w:titlePg/>
          <w:textDirection w:val="lrTb"/>
          <w:docGrid w:type="default" w:linePitch="360" w:charSpace="0"/>
        </w:sectPr>
      </w:pPr>
      <w:r>
        <w:br w:type="page"/>
      </w:r>
    </w:p>
    <w:p>
      <w:pPr>
        <w:pStyle w:val="officename"/>
        <w:spacing w:lineRule="exact" w:line="180"/>
        <w:rPr/>
      </w:pPr>
      <w:r>
        <w:rPr/>
        <w:t>AMSTERDAM</w:t>
        <w:tab/>
        <w:t>31 20 5754 890</w:t>
      </w:r>
    </w:p>
    <w:p>
      <w:pPr>
        <w:pStyle w:val="officename"/>
        <w:spacing w:lineRule="exact" w:line="180"/>
        <w:rPr/>
      </w:pPr>
      <w:r>
        <w:rPr/>
        <w:t>ATLANTA</w:t>
        <w:tab/>
        <w:t>1 404 656 9500</w:t>
      </w:r>
    </w:p>
    <w:p>
      <w:pPr>
        <w:pStyle w:val="officename"/>
        <w:spacing w:lineRule="exact" w:line="180"/>
        <w:rPr/>
      </w:pPr>
      <w:r>
        <w:rPr/>
        <w:t>AUCKLAND</w:t>
        <w:tab/>
        <w:t>64 9 302 5500</w:t>
      </w:r>
    </w:p>
    <w:p>
      <w:pPr>
        <w:pStyle w:val="officename"/>
        <w:spacing w:lineRule="exact" w:line="180"/>
        <w:rPr/>
      </w:pPr>
      <w:r>
        <w:rPr/>
        <w:t>BALTIMORE</w:t>
        <w:tab/>
        <w:t>1 410 223 3000</w:t>
      </w:r>
    </w:p>
    <w:p>
      <w:pPr>
        <w:pStyle w:val="officename"/>
        <w:spacing w:lineRule="exact" w:line="180"/>
        <w:rPr/>
      </w:pPr>
      <w:r>
        <w:rPr/>
        <w:t>BANGKOK</w:t>
        <w:tab/>
        <w:t>62 614 6000</w:t>
      </w:r>
    </w:p>
    <w:p>
      <w:pPr>
        <w:pStyle w:val="officename"/>
        <w:spacing w:lineRule="exact" w:line="180"/>
        <w:rPr/>
      </w:pPr>
      <w:r>
        <w:rPr/>
        <w:t>BEIJING</w:t>
        <w:tab/>
        <w:t>86 10 6410 6611</w:t>
      </w:r>
    </w:p>
    <w:p>
      <w:pPr>
        <w:pStyle w:val="officename"/>
        <w:spacing w:lineRule="exact" w:line="180"/>
        <w:rPr/>
      </w:pPr>
      <w:r>
        <w:rPr/>
        <w:t>BOSTON</w:t>
        <w:tab/>
        <w:t>1 617 556 5500</w:t>
      </w:r>
    </w:p>
    <w:p>
      <w:pPr>
        <w:pStyle w:val="officename"/>
        <w:spacing w:lineRule="exact" w:line="180"/>
        <w:rPr/>
      </w:pPr>
      <w:r>
        <w:rPr/>
        <w:t>BUDAPEST</w:t>
        <w:tab/>
        <w:t>36 1 202 2188</w:t>
      </w:r>
    </w:p>
    <w:p>
      <w:pPr>
        <w:pStyle w:val="officename"/>
        <w:spacing w:lineRule="exact" w:line="180"/>
        <w:rPr/>
      </w:pPr>
      <w:r>
        <w:rPr/>
        <w:t>BUENOS AIRES</w:t>
        <w:tab/>
        <w:t>54 11 4394 3100</w:t>
      </w:r>
    </w:p>
    <w:p>
      <w:pPr>
        <w:pStyle w:val="officename"/>
        <w:spacing w:lineRule="exact" w:line="180"/>
        <w:rPr/>
      </w:pPr>
      <w:r>
        <w:rPr/>
        <w:t>CHICAGO</w:t>
        <w:tab/>
        <w:t>1 312 750 3000</w:t>
      </w:r>
    </w:p>
    <w:p>
      <w:pPr>
        <w:pStyle w:val="officename"/>
        <w:spacing w:lineRule="exact" w:line="180"/>
        <w:rPr/>
      </w:pPr>
      <w:r>
        <w:rPr/>
        <w:t>FRANKFURT</w:t>
        <w:tab/>
        <w:t>49 69 75 38 0</w:t>
      </w:r>
    </w:p>
    <w:p>
      <w:pPr>
        <w:pStyle w:val="officename"/>
        <w:spacing w:lineRule="exact" w:line="180"/>
        <w:rPr/>
      </w:pPr>
      <w:r>
        <w:rPr/>
        <w:t>HOUSTON</w:t>
        <w:tab/>
        <w:t>1 713 220 6700</w:t>
      </w:r>
    </w:p>
    <w:p>
      <w:pPr>
        <w:pStyle w:val="officename"/>
        <w:spacing w:lineRule="exact" w:line="180"/>
        <w:rPr/>
      </w:pPr>
      <w:r>
        <w:rPr/>
        <w:t>HONG KONG</w:t>
        <w:tab/>
        <w:t>852 2101 6000</w:t>
      </w:r>
    </w:p>
    <w:p>
      <w:pPr>
        <w:pStyle w:val="officename"/>
        <w:spacing w:lineRule="exact" w:line="180"/>
        <w:rPr/>
      </w:pPr>
      <w:r>
        <w:rPr/>
        <w:t>KUALA LUMPUR</w:t>
        <w:tab/>
        <w:t>603 2143 0366</w:t>
      </w:r>
    </w:p>
    <w:p>
      <w:pPr>
        <w:pStyle w:val="officename"/>
        <w:spacing w:lineRule="exact" w:line="180"/>
        <w:rPr/>
      </w:pPr>
      <w:r>
        <w:br w:type="column"/>
      </w:r>
      <w:r>
        <w:rPr/>
        <w:t>LONDON</w:t>
        <w:tab/>
        <w:t>44 20 7888 8888</w:t>
      </w:r>
    </w:p>
    <w:p>
      <w:pPr>
        <w:pStyle w:val="officename"/>
        <w:spacing w:lineRule="exact" w:line="180"/>
        <w:rPr/>
      </w:pPr>
      <w:r>
        <w:rPr/>
        <w:t>MADRID</w:t>
        <w:tab/>
        <w:t>34 91 423 16 00</w:t>
      </w:r>
    </w:p>
    <w:p>
      <w:pPr>
        <w:pStyle w:val="officename"/>
        <w:spacing w:lineRule="exact" w:line="180"/>
        <w:rPr/>
      </w:pPr>
      <w:r>
        <w:rPr/>
        <w:t>MELBOURNE</w:t>
        <w:tab/>
        <w:t>61 3 9280 1888</w:t>
      </w:r>
    </w:p>
    <w:p>
      <w:pPr>
        <w:pStyle w:val="officename"/>
        <w:spacing w:lineRule="exact" w:line="180"/>
        <w:rPr/>
      </w:pPr>
      <w:r>
        <w:rPr/>
        <w:t>MEXICO CITY</w:t>
        <w:tab/>
        <w:t>52 5 283 89 00</w:t>
      </w:r>
    </w:p>
    <w:p>
      <w:pPr>
        <w:pStyle w:val="officename"/>
        <w:spacing w:lineRule="exact" w:line="180"/>
        <w:rPr/>
      </w:pPr>
      <w:r>
        <w:rPr/>
        <w:t>MILAN</w:t>
        <w:tab/>
        <w:t>39 02 7702 1</w:t>
      </w:r>
    </w:p>
    <w:p>
      <w:pPr>
        <w:pStyle w:val="officename"/>
        <w:spacing w:lineRule="exact" w:line="180"/>
        <w:rPr/>
      </w:pPr>
      <w:r>
        <w:rPr/>
        <w:t>MOSCOW</w:t>
        <w:tab/>
        <w:t>7 501 967 8200</w:t>
      </w:r>
    </w:p>
    <w:p>
      <w:pPr>
        <w:pStyle w:val="officename"/>
        <w:spacing w:lineRule="exact" w:line="180"/>
        <w:rPr/>
      </w:pPr>
      <w:r>
        <w:rPr/>
        <w:t>MUMBAI</w:t>
        <w:tab/>
        <w:t>91 22 230 6333</w:t>
      </w:r>
    </w:p>
    <w:p>
      <w:pPr>
        <w:pStyle w:val="officename"/>
        <w:spacing w:lineRule="exact" w:line="180"/>
        <w:rPr/>
      </w:pPr>
      <w:r>
        <w:rPr/>
        <w:t>NEW YORK</w:t>
        <w:tab/>
        <w:t>1 212 325 2000</w:t>
      </w:r>
    </w:p>
    <w:p>
      <w:pPr>
        <w:pStyle w:val="officename"/>
        <w:spacing w:lineRule="exact" w:line="180"/>
        <w:rPr/>
      </w:pPr>
      <w:r>
        <w:rPr/>
        <w:t>PALO ALTO</w:t>
        <w:tab/>
        <w:t>1 650 614 5000</w:t>
      </w:r>
    </w:p>
    <w:p>
      <w:pPr>
        <w:pStyle w:val="officename"/>
        <w:spacing w:lineRule="exact" w:line="180"/>
        <w:rPr/>
      </w:pPr>
      <w:r>
        <w:rPr/>
        <w:t>PARIS</w:t>
        <w:tab/>
        <w:t>33 1 53 75 85 00</w:t>
      </w:r>
    </w:p>
    <w:p>
      <w:pPr>
        <w:pStyle w:val="officename"/>
        <w:spacing w:lineRule="exact" w:line="180"/>
        <w:rPr/>
      </w:pPr>
      <w:r>
        <w:rPr/>
        <w:t>PASADENA</w:t>
        <w:tab/>
        <w:t>1 626 395 5100</w:t>
      </w:r>
    </w:p>
    <w:p>
      <w:pPr>
        <w:pStyle w:val="officename"/>
        <w:spacing w:lineRule="exact" w:line="180"/>
        <w:rPr/>
      </w:pPr>
      <w:r>
        <w:rPr/>
        <w:t>PHILADELPHIA</w:t>
        <w:tab/>
        <w:t>1 215 851 1000</w:t>
      </w:r>
    </w:p>
    <w:p>
      <w:pPr>
        <w:pStyle w:val="officename"/>
        <w:spacing w:lineRule="exact" w:line="180"/>
        <w:rPr/>
      </w:pPr>
      <w:r>
        <w:rPr/>
        <w:t>PRAGUE</w:t>
        <w:tab/>
        <w:t>420 2 210 83111</w:t>
      </w:r>
    </w:p>
    <w:p>
      <w:pPr>
        <w:pStyle w:val="officename"/>
        <w:spacing w:lineRule="exact" w:line="180"/>
        <w:rPr/>
      </w:pPr>
      <w:r>
        <w:rPr/>
        <w:t>SAN FRANCISCO</w:t>
        <w:tab/>
        <w:t>1 415 836 7600</w:t>
      </w:r>
    </w:p>
    <w:p>
      <w:pPr>
        <w:pStyle w:val="officename"/>
        <w:spacing w:lineRule="exact" w:line="180"/>
        <w:rPr/>
      </w:pPr>
      <w:r>
        <w:br w:type="column"/>
      </w:r>
      <w:r>
        <w:rPr/>
        <w:t>SÃO PAULO</w:t>
        <w:tab/>
        <w:t>55 11 3841 6000</w:t>
      </w:r>
    </w:p>
    <w:p>
      <w:pPr>
        <w:pStyle w:val="officename"/>
        <w:spacing w:lineRule="exact" w:line="180"/>
        <w:rPr/>
      </w:pPr>
      <w:r>
        <w:rPr/>
        <w:t>SEOUL</w:t>
        <w:tab/>
        <w:t>82 2 3707 3700</w:t>
      </w:r>
    </w:p>
    <w:p>
      <w:pPr>
        <w:pStyle w:val="officename"/>
        <w:spacing w:lineRule="exact" w:line="180"/>
        <w:rPr/>
      </w:pPr>
      <w:r>
        <w:rPr/>
        <w:t>SHANGHAI</w:t>
        <w:tab/>
        <w:t>86 21 6881 8418</w:t>
      </w:r>
    </w:p>
    <w:p>
      <w:pPr>
        <w:pStyle w:val="officename"/>
        <w:spacing w:lineRule="exact" w:line="180"/>
        <w:rPr/>
      </w:pPr>
      <w:r>
        <w:rPr/>
        <w:t>SINGAPORE</w:t>
        <w:tab/>
        <w:t>65 212 2000</w:t>
      </w:r>
    </w:p>
    <w:p>
      <w:pPr>
        <w:pStyle w:val="officename"/>
        <w:spacing w:lineRule="exact" w:line="180"/>
        <w:rPr/>
      </w:pPr>
      <w:r>
        <w:rPr/>
        <w:t>SYDNEY</w:t>
        <w:tab/>
        <w:t>61 2 8205 4433</w:t>
      </w:r>
    </w:p>
    <w:p>
      <w:pPr>
        <w:pStyle w:val="officename"/>
        <w:spacing w:lineRule="exact" w:line="180"/>
        <w:rPr/>
      </w:pPr>
      <w:r>
        <w:rPr/>
        <w:t>TAIPEI</w:t>
        <w:tab/>
        <w:t>886 2 2715 6388</w:t>
      </w:r>
    </w:p>
    <w:p>
      <w:pPr>
        <w:pStyle w:val="officename"/>
        <w:spacing w:lineRule="exact" w:line="180"/>
        <w:rPr/>
      </w:pPr>
      <w:r>
        <w:rPr/>
        <w:t>TOKYO</w:t>
        <w:tab/>
        <w:t>81 3 5404 9000</w:t>
      </w:r>
    </w:p>
    <w:p>
      <w:pPr>
        <w:pStyle w:val="officename"/>
        <w:spacing w:lineRule="exact" w:line="180"/>
        <w:rPr/>
      </w:pPr>
      <w:r>
        <w:rPr/>
        <w:t>TORONTO</w:t>
        <w:tab/>
        <w:t>1 416 352 4500</w:t>
      </w:r>
    </w:p>
    <w:p>
      <w:pPr>
        <w:pStyle w:val="officename"/>
        <w:spacing w:lineRule="exact" w:line="180"/>
        <w:rPr/>
      </w:pPr>
      <w:r>
        <w:rPr/>
        <w:t>WARSAW</w:t>
        <w:tab/>
        <w:t>48 22 695 0050</w:t>
      </w:r>
    </w:p>
    <w:p>
      <w:pPr>
        <w:pStyle w:val="officename"/>
        <w:spacing w:lineRule="exact" w:line="180"/>
        <w:rPr/>
      </w:pPr>
      <w:r>
        <w:rPr/>
        <w:t>WASHINGTON</w:t>
        <w:tab/>
        <w:t>1 202 354 2600</w:t>
      </w:r>
    </w:p>
    <w:p>
      <w:pPr>
        <w:pStyle w:val="officename"/>
        <w:spacing w:lineRule="exact" w:line="180"/>
        <w:rPr/>
      </w:pPr>
      <w:r>
        <w:rPr/>
        <w:t>WELLINGTON</w:t>
        <w:tab/>
        <w:t>64 4 474 4400</w:t>
      </w:r>
    </w:p>
    <w:p>
      <w:pPr>
        <w:pStyle w:val="officename"/>
        <w:spacing w:lineRule="exact" w:line="180"/>
        <w:rPr/>
      </w:pPr>
      <w:r>
        <w:rPr/>
        <w:t>ZURICH</w:t>
        <w:tab/>
        <w:t>41 1 333 55 55</w:t>
      </w:r>
    </w:p>
    <w:p>
      <w:pPr>
        <w:pStyle w:val="officename"/>
        <w:spacing w:lineRule="exact" w:line="180"/>
        <w:rPr/>
      </w:pPr>
      <w:r>
        <w:rPr/>
      </w:r>
    </w:p>
    <w:p>
      <w:pPr>
        <w:pStyle w:val="officename"/>
        <w:spacing w:lineRule="exact" w:line="180"/>
        <w:rPr/>
      </w:pPr>
      <w:r>
        <w:rPr/>
      </w:r>
    </w:p>
    <w:p>
      <w:pPr>
        <w:sectPr>
          <w:headerReference w:type="default" r:id="rId21"/>
          <w:headerReference w:type="first" r:id="rId22"/>
          <w:footerReference w:type="default" r:id="rId23"/>
          <w:footerReference w:type="first" r:id="rId24"/>
          <w:type w:val="nextPage"/>
          <w:pgSz w:w="12240" w:h="15840"/>
          <w:pgMar w:left="1440" w:right="1195" w:gutter="0" w:header="547" w:top="1800" w:footer="677" w:bottom="1080"/>
          <w:pgNumType w:fmt="decimal"/>
          <w:cols w:num="3" w:space="708" w:equalWidth="true" w:sep="false"/>
          <w:formProt w:val="false"/>
          <w:textDirection w:val="lrTb"/>
          <w:docGrid w:type="default" w:linePitch="360" w:charSpace="0"/>
        </w:sectPr>
      </w:pPr>
    </w:p>
    <w:p>
      <w:pPr>
        <w:pStyle w:val="Body"/>
        <w:pBdr>
          <w:top w:val="single" w:sz="4" w:space="1" w:color="000000"/>
        </w:pBdr>
        <w:spacing w:before="60" w:after="60"/>
        <w:rPr>
          <w:rFonts w:ascii="Arial Narrow" w:hAnsi="Arial Narrow" w:cs="Arial Narrow"/>
        </w:rPr>
      </w:pPr>
      <w:r>
        <w:rPr>
          <w:rFonts w:cs="Arial Narrow" w:ascii="Arial Narrow" w:hAnsi="Arial Narrow"/>
        </w:rPr>
        <w:t>Copyright Credit Suisse First Boston, and its subsidiaries and affiliates, 2001.  All rights reserved.</w:t>
      </w:r>
    </w:p>
    <w:p>
      <w:pPr>
        <w:pStyle w:val="Body"/>
        <w:pBdr>
          <w:top w:val="single" w:sz="4" w:space="1" w:color="000000"/>
        </w:pBdr>
        <w:spacing w:before="0" w:after="60"/>
        <w:rPr/>
      </w:pPr>
      <w:r>
        <w:rPr>
          <w:rFonts w:cs="Arial Narrow" w:ascii="Arial Narrow" w:hAnsi="Arial Narrow"/>
        </w:rPr>
        <w:t>This report is not directed to, or intended for distribution to or use by, any person or entity who is a citizen or resident of or located in any locality, state, country or other jurisdiction where such distribution, publication, availability or use would be contrary to law or regulation or which would subject Credit Suisse First Boston or its subsidiaries or affiliates (collectively "CSFB") to any registration or licensing requirement within such jurisdiction. All material presented in this report, unless specifically indicated otherwise, is under copyright to CSFB.  None of the material, nor its content, nor any copy of it, may be altered in any way, transmitted to, copied or distributed to any other party, without the prior express written permission of CSFB.  All trademarks, service marks and logos used in this report are trademarks or service marks or registered trademarks or service marks of CSFB.</w:t>
      </w:r>
    </w:p>
    <w:p>
      <w:pPr>
        <w:pStyle w:val="Body"/>
        <w:pBdr>
          <w:top w:val="single" w:sz="4" w:space="1" w:color="000000"/>
        </w:pBdr>
        <w:spacing w:before="0" w:after="60"/>
        <w:rPr>
          <w:rFonts w:ascii="Arial Narrow" w:hAnsi="Arial Narrow" w:cs="Arial Narrow"/>
        </w:rPr>
      </w:pPr>
      <w:r>
        <w:rPr>
          <w:rFonts w:cs="Arial Narrow" w:ascii="Arial Narrow" w:hAnsi="Arial Narrow"/>
        </w:rPr>
        <w:t>The information, tools and material presented in this report are provided to you for information purposes only and are not to be used or considered as an offer or the solicitation of an offer to sell or to buy or subscribe for securities or other financial instruments. CSFB may not have taken any steps to ensure that the securities referred to in this report are suitable for any particular investor. The contents of this report does not constitute investment advice to any person and CSFB will not treat recipients as its customers by virtue of their receiving the report.</w:t>
      </w:r>
    </w:p>
    <w:p>
      <w:pPr>
        <w:pStyle w:val="Body"/>
        <w:pBdr>
          <w:top w:val="single" w:sz="4" w:space="1" w:color="000000"/>
        </w:pBdr>
        <w:spacing w:before="0" w:after="60"/>
        <w:rPr>
          <w:rFonts w:ascii="Arial Narrow" w:hAnsi="Arial Narrow" w:cs="Arial Narrow"/>
        </w:rPr>
      </w:pPr>
      <w:r>
        <w:rPr>
          <w:rFonts w:cs="Arial Narrow" w:ascii="Arial Narrow" w:hAnsi="Arial Narrow"/>
        </w:rPr>
        <w:t xml:space="preserve">Information and opinions presented in this report have been obtained or derived from sources believed by CSFB to be reliable, but CSFB makes no representation as to their accuracy or completeness and CSFB accepts no liability for loss arising from the use of the material presented in this report unless such liability arises under specific statutes or regulations.  This report is not to be relied upon in substitution for the exercise of independent judgment. CSFB may have issued other reports that are inconsistent with, and reach different conclusions from, the information presented in this report.  Those reports reflect the different assumptions, views and analytical methods of the analysts who prepared them. </w:t>
      </w:r>
    </w:p>
    <w:p>
      <w:pPr>
        <w:pStyle w:val="Body"/>
        <w:pBdr>
          <w:top w:val="single" w:sz="4" w:space="1" w:color="000000"/>
        </w:pBdr>
        <w:spacing w:before="0" w:after="60"/>
        <w:rPr>
          <w:rFonts w:ascii="Arial Narrow" w:hAnsi="Arial Narrow" w:cs="Arial Narrow"/>
        </w:rPr>
      </w:pPr>
      <w:r>
        <w:rPr>
          <w:rFonts w:cs="Arial Narrow" w:ascii="Arial Narrow" w:hAnsi="Arial Narrow"/>
        </w:rPr>
        <w:t>CSFB may, to the extent permitted by law, participate or invest in financing transactions with the issuer(s) of the securities referred to in this report, perform services for or solicit business from such issuers, and/or have a position or effect transactions in the securities or options thereon.  In addition, it may make markets in the securities mentioned in the material presented in this report.  CSFB may, to the extent permitted by law, act upon or use the information or opinions presented herein, or the research or analysis on which they are based, before the material is published.  CSFB may have, within the last three years, served as manager or co-manager of a public offering of securities for, or currently may make a primary market in issues of, any or all of the companies mentioned in this report.  Additional information is available on request.</w:t>
      </w:r>
    </w:p>
    <w:p>
      <w:pPr>
        <w:pStyle w:val="Body"/>
        <w:pBdr>
          <w:top w:val="single" w:sz="4" w:space="1" w:color="000000"/>
        </w:pBdr>
        <w:spacing w:before="0" w:after="60"/>
        <w:rPr>
          <w:rFonts w:ascii="Arial Narrow" w:hAnsi="Arial Narrow" w:cs="Arial Narrow"/>
        </w:rPr>
      </w:pPr>
      <w:r>
        <w:rPr>
          <w:rFonts w:cs="Arial Narrow" w:ascii="Arial Narrow" w:hAnsi="Arial Narrow"/>
        </w:rPr>
        <w:t>Some investments referred to in the research will be offered solely by a single entity and in the case of some investments solely by CSFB, or an associate of CSFB.</w:t>
      </w:r>
    </w:p>
    <w:p>
      <w:pPr>
        <w:pStyle w:val="Body"/>
        <w:pBdr>
          <w:top w:val="single" w:sz="4" w:space="1" w:color="000000"/>
        </w:pBdr>
        <w:spacing w:before="0" w:after="60"/>
        <w:rPr>
          <w:rFonts w:ascii="Arial Narrow" w:hAnsi="Arial Narrow" w:cs="Arial Narrow"/>
        </w:rPr>
      </w:pPr>
      <w:r>
        <w:rPr>
          <w:rFonts w:cs="Arial Narrow" w:ascii="Arial Narrow" w:hAnsi="Arial Narrow"/>
        </w:rPr>
        <w:t xml:space="preserve">Past performance should not be taken as an indication or guarantee of future performance, and no representation or warranty, express or implied, is made regarding future performance. Information, opinions and estimates contained in this report reflect a judgement at its original date of publication by CSFB and are subject to change.  The price, value of and income from any of the securities or financial instruments mentioned in this report can fall as well as rise. The value of securities and financial instruments is subject to exchange rate fluctuation that may have a positive or adverse effect on the price or income of such securities or financial instruments. Investors in securities such as ADR’s, the values of which are influenced by currency volatility, effectively assume this risk. </w:t>
      </w:r>
    </w:p>
    <w:p>
      <w:pPr>
        <w:pStyle w:val="Body"/>
        <w:pBdr>
          <w:top w:val="single" w:sz="4" w:space="1" w:color="000000"/>
        </w:pBdr>
        <w:spacing w:before="0" w:after="60"/>
        <w:rPr/>
      </w:pPr>
      <w:r>
        <w:rPr>
          <w:rFonts w:cs="Arial Narrow" w:ascii="Arial Narrow" w:hAnsi="Arial Narrow"/>
        </w:rPr>
        <w:t>Structured securities are complex instruments, typically involve a high degree of risk and are intended for sale only to sophisticated investors who are capable of understanding and assuming the risks involved.  The market value of any structured security may be affected by changes in economic, financial and political factors (including, but not limited to, spot and forward interest and exchange rates), time to maturity, market conditions and volatility, and the credit quality of any issuer or reference issuer.  Any investor interested in purchasing a structured product should conduct their own investigation and analysis of the product and consult with their own professional advisers as to the risks involved in making such a purchase.</w:t>
      </w:r>
    </w:p>
    <w:p>
      <w:pPr>
        <w:pStyle w:val="Body"/>
        <w:pBdr>
          <w:top w:val="single" w:sz="4" w:space="1" w:color="000000"/>
        </w:pBdr>
        <w:spacing w:before="0" w:after="60"/>
        <w:rPr/>
      </w:pPr>
      <w:r>
        <w:rPr>
          <w:rFonts w:cs="Arial Narrow" w:ascii="Arial Narrow" w:hAnsi="Arial Narrow"/>
        </w:rPr>
        <w:t>Some investments discussed in the research may have a high level of volatility. High volatility investments may experience sudden and large falls in their value causing losses when that investment is realised. Those losses may equal your original investment.  In the case of some investments the potential losses may exceed the amount of initial investment, in such circumstances you may be required to pay more money to support those losses. Income yields from investments may fluctuate and in consequence initial capital paid to make the investment may be used as part of that income yield.</w:t>
      </w:r>
    </w:p>
    <w:p>
      <w:pPr>
        <w:pStyle w:val="Body"/>
        <w:pBdr>
          <w:top w:val="single" w:sz="4" w:space="1" w:color="000000"/>
        </w:pBdr>
        <w:spacing w:before="0" w:after="60"/>
        <w:rPr/>
      </w:pPr>
      <w:r>
        <w:rPr>
          <w:rFonts w:cs="Arial Narrow" w:ascii="Arial Narrow" w:hAnsi="Arial Narrow"/>
        </w:rPr>
        <w:t>Some investments may not be readily realisable and it may be difficult to sell or realise those investments, similarly it may prove difficult for you to obtain reliable information about the value, or risks, to which such an investment is exposed. The investments and services contained or referred to in this report may not be suitable for you, it is recommended you consult an independent investment advisor if you are in doubt about those investments or investment services.  Nothing in this report constitutes investment, legal, accounting or tax advice nor a representation that any investment or strategy is suitable or appropriate to your individual circumstances. Nothing in the report constitutes a personal recommendation to you. CSFB does not advise on the tax consequences of investments. You are advised to contact an independent tax adviser.  Please note the bases and levels of taxation may change.</w:t>
      </w:r>
    </w:p>
    <w:p>
      <w:pPr>
        <w:pStyle w:val="Body"/>
        <w:spacing w:before="0" w:after="60"/>
        <w:rPr>
          <w:rFonts w:ascii="Arial Narrow" w:hAnsi="Arial Narrow" w:cs="Arial Narrow"/>
        </w:rPr>
      </w:pPr>
      <w:r>
        <w:rPr>
          <w:rFonts w:cs="Arial Narrow" w:ascii="Arial Narrow" w:hAnsi="Arial Narrow"/>
        </w:rPr>
        <w:t>This report may contain hyperlinks to websites. CSFB has not reviewed the linked site and takes no responsibility for the content contained therein. The link is provided solely for your convenience and information and the content of the linked site does not in any way form part of this document. Following the link through this report or CSFB’s website shall be at your own risk.</w:t>
      </w:r>
    </w:p>
    <w:p>
      <w:pPr>
        <w:pStyle w:val="Body"/>
        <w:spacing w:before="0" w:after="60"/>
        <w:rPr>
          <w:rFonts w:ascii="Arial Narrow" w:hAnsi="Arial Narrow" w:cs="Arial Narrow"/>
        </w:rPr>
      </w:pPr>
      <w:r>
        <w:rPr>
          <w:rFonts w:cs="Arial Narrow" w:ascii="Arial Narrow" w:hAnsi="Arial Narrow"/>
        </w:rPr>
        <w:t>This report is issued in Europe by Credit Suisse First Boston (Europe) Limited, which is regulated in the United Kingdom by The Securities and Futures Authority (“SFA”). This report is being distributed in Europe by Credit Suisse First Boston (Europe) Limited, in the United States by Credit Suisse First Boston Corporation; in Switzerland by Credit Suisse First Boston; in Canada by Credit Suisse First Boston Securities Canada, Inc.; in Brazil by Banco de Investimentos Credit Suisse Boston Garantia S.A; in Japan by Credit Suisse First Boston Securities (Japan) Limited; elsewhere in Asia by Credit Suisse First Boston (Hong Kong) Limited, Credit Suisse First Boston Australia Equities Limited, Credit Suisse First Boston NZ Securities Limited, Credit Suisse First Boston (Thailand) Limited, CSFB Research (Malaysia) Sdn Bhd, Credit Suisse First Boston Singapore Branch and elsewhere in the world by an authorised affiliate. Research on Taiwanese securities produced by Credit Suisse First Boston, Taipei Branch has been prepared and/or reviewed by a registered Senior Business Person.</w:t>
      </w:r>
    </w:p>
    <w:p>
      <w:pPr>
        <w:pStyle w:val="Body"/>
        <w:spacing w:before="0" w:after="60"/>
        <w:rPr/>
      </w:pPr>
      <w:r>
        <w:rPr>
          <w:rFonts w:cs="Arial Narrow" w:ascii="Arial Narrow" w:hAnsi="Arial Narrow"/>
        </w:rPr>
        <w:t xml:space="preserve">In jurisdictions where CSFB is not already registered or licensed to trade in securities, transactions will only be effected in accordance with applicable securities legislation, which will vary from jurisdiction to jurisdiction and may require that the trade be made in accordance with applicable exemptions from registration or licensing requirements.  Non-U.S. customers wishing to effect a transaction should contact a CSFB entity in their local jurisdiction unless governing law permits otherwise. U.S. customers wishing to effect a transaction should do so only by contacting a representative at Credit Suisse First Boston Corporation in the U.S. </w:t>
      </w:r>
    </w:p>
    <w:p>
      <w:pPr>
        <w:pStyle w:val="Body"/>
        <w:rPr>
          <w:rFonts w:ascii="Arial Narrow" w:hAnsi="Arial Narrow" w:cs="Arial Narrow"/>
        </w:rPr>
      </w:pPr>
      <w:r>
        <w:rPr>
          <w:rFonts w:cs="Arial Narrow" w:ascii="Arial Narrow" w:hAnsi="Arial Narrow"/>
        </w:rPr>
        <w:t>Please note that this research was originally prepared and issued by CSFB for distribution to their market professional and institutional investor customers.  Recipients who are not market professional or institutional investor customers of CSFB should seek the advice of their independent financial advisor prior to taking any investment decision based on this report or for any necessary explanation of its contents.</w:t>
      </w:r>
    </w:p>
    <w:p>
      <w:pPr>
        <w:sectPr>
          <w:type w:val="continuous"/>
          <w:pgSz w:w="12240" w:h="15840"/>
          <w:pgMar w:left="1440" w:right="1195" w:gutter="0" w:header="547" w:top="1800" w:footer="677" w:bottom="1080"/>
          <w:formProt w:val="false"/>
          <w:textDirection w:val="lrTb"/>
          <w:docGrid w:type="default" w:linePitch="360" w:charSpace="0"/>
        </w:sectPr>
      </w:pPr>
    </w:p>
    <w:p>
      <w:pPr>
        <w:pStyle w:val="Body"/>
        <w:rPr>
          <w:rFonts w:ascii="Arial Narrow" w:hAnsi="Arial Narrow" w:cs="Arial Narrow"/>
          <w:sz w:val="16"/>
        </w:rPr>
      </w:pPr>
      <w:r>
        <w:rPr>
          <w:rFonts w:cs="Arial Narrow" w:ascii="Arial Narrow" w:hAnsi="Arial Narrow"/>
          <w:sz w:val="16"/>
        </w:rPr>
      </w:r>
    </w:p>
    <w:sectPr>
      <w:type w:val="continuous"/>
      <w:pgSz w:w="12240" w:h="15840"/>
      <w:pgMar w:left="1440" w:right="1195" w:gutter="0" w:header="547" w:top="1800" w:footer="677" w:bottom="108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Arial Narrow">
    <w:charset w:val="00" w:characterSet="windows-1252"/>
    <w:family w:val="swiss"/>
    <w:pitch w:val="variable"/>
  </w:font>
  <w:font w:name="Wingdings">
    <w:charset w:val="02"/>
    <w:family w:val="auto"/>
    <w:pitch w:val="variable"/>
  </w:font>
  <w:font w:name="Liberation Sans">
    <w:altName w:val="Arial"/>
    <w:charset w:val="01" w:characterSet="utf-8"/>
    <w:family w:val="swiss"/>
    <w:pitch w:val="variable"/>
  </w:font>
  <w:font w:name="Palatino">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false"/>
      <w:bidi w:val="0"/>
      <w:spacing w:before="0" w:after="120"/>
      <w:jc w:val="both"/>
      <w:rPr/>
    </w:pPr>
    <w:r>
      <w:rPr>
        <w:rStyle w:val="PageNumber"/>
      </w:rPr>
      <w:t>–</w:t>
    </w:r>
    <w:r>
      <w:rPr>
        <w:rStyle w:val="PageNumber"/>
        <w:rFonts w:eastAsia="Arial"/>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Fonts w:eastAsia="Arial"/>
      </w:rPr>
      <w:t xml:space="preserve"> </w:t>
    </w:r>
    <w:r>
      <w:rPr>
        <w:rStyle w:val="PageNumber"/>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Main"/>
      <w:rPr/>
    </w:pPr>
    <w:r>
      <w:rPr>
        <w:rStyle w:val="PageNumber"/>
      </w:rPr>
      <w:t>–</w:t>
    </w:r>
    <w:r>
      <w:rPr>
        <w:rStyle w:val="PageNumber"/>
        <w:rFonts w:eastAsia="Arial"/>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r>
      <w:rPr>
        <w:rStyle w:val="PageNumber"/>
        <w:rFonts w:eastAsia="Arial"/>
      </w:rPr>
      <w:t xml:space="preserve"> </w:t>
    </w:r>
    <w:r>
      <w:rPr>
        <w:rStyle w:val="PageNumber"/>
      </w:rPr>
      <w:t>–</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FILENAME </w:instrText>
    </w:r>
    <w:r>
      <w:rPr>
        <w:sz w:val="18"/>
        <w:rFonts w:cs="Arial Narrow" w:ascii="Arial Narrow" w:hAnsi="Arial Narrow"/>
      </w:rPr>
      <w:fldChar w:fldCharType="separate"/>
    </w:r>
    <w:r>
      <w:rPr>
        <w:sz w:val="18"/>
        <w:rFonts w:cs="Arial Narrow" w:ascii="Arial Narrow" w:hAnsi="Arial Narrow"/>
      </w:rPr>
      <w:t>SuperNewgalv0604.doc</w:t>
    </w:r>
    <w:r>
      <w:rPr>
        <w:sz w:val="18"/>
        <w:rFonts w:cs="Arial Narrow" w:ascii="Arial Narrow" w:hAnsi="Arial Narrow"/>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ogoEvenPg"/>
      <w:pBdr>
        <w:bottom w:val="single" w:sz="6" w:space="3" w:color="000000"/>
      </w:pBdr>
      <w:tabs>
        <w:tab w:val="clear" w:pos="4680"/>
        <w:tab w:val="right" w:pos="7200" w:leader="none"/>
      </w:tabs>
      <w:spacing w:before="60" w:after="0"/>
      <w:rPr/>
    </w:pPr>
    <w:r>
      <w:rPr/>
      <w:tab/>
    </w:r>
    <w:r>
      <w:rPr/>
      <w:drawing>
        <wp:inline distT="0" distB="0" distL="0" distR="0">
          <wp:extent cx="1005840" cy="304165"/>
          <wp:effectExtent l="0" t="0" r="0" b="0"/>
          <wp:docPr id="2" name="Image1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3" descr="" title=""/>
                  <pic:cNvPicPr>
                    <a:picLocks noChangeAspect="1" noChangeArrowheads="1"/>
                  </pic:cNvPicPr>
                </pic:nvPicPr>
                <pic:blipFill>
                  <a:blip r:embed="rId1"/>
                  <a:stretch>
                    <a:fillRect/>
                  </a:stretch>
                </pic:blipFill>
                <pic:spPr bwMode="auto">
                  <a:xfrm>
                    <a:off x="0" y="0"/>
                    <a:ext cx="1005840" cy="304165"/>
                  </a:xfrm>
                  <a:prstGeom prst="rect">
                    <a:avLst/>
                  </a:prstGeom>
                </pic:spPr>
              </pic:pic>
            </a:graphicData>
          </a:graphic>
        </wp:inline>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eskNoteBar"/>
      <w:widowControl/>
      <w:shd w:fill="FF0000" w:val="clear"/>
      <w:bidi w:val="0"/>
      <w:spacing w:before="0" w:after="120"/>
      <w:ind w:hanging="0" w:start="720" w:end="3240"/>
      <w:jc w:val="center"/>
      <w:rPr/>
    </w:pPr>
    <w:r>
      <w:rPr/>
      <w:t>Desk Notes</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Main"/>
      <w:keepNext w:val="true"/>
      <w:pBdr>
        <w:bottom w:val="single" w:sz="6" w:space="6" w:color="000000"/>
      </w:pBdr>
      <w:spacing w:before="60" w:after="0"/>
      <w:ind w:hanging="0" w:start="-2390" w:end="-43"/>
      <w:jc w:val="start"/>
      <w:rPr/>
    </w:pPr>
    <w:r>
      <w:rPr/>
      <w:tab/>
    </w:r>
    <w:r>
      <w:rPr/>
      <w:drawing>
        <wp:inline distT="0" distB="0" distL="0" distR="0">
          <wp:extent cx="1005840" cy="304165"/>
          <wp:effectExtent l="0" t="0" r="0" b="0"/>
          <wp:docPr id="13" name="Image1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4" descr="" title=""/>
                  <pic:cNvPicPr>
                    <a:picLocks noChangeAspect="1" noChangeArrowheads="1"/>
                  </pic:cNvPicPr>
                </pic:nvPicPr>
                <pic:blipFill>
                  <a:blip r:embed="rId1"/>
                  <a:srcRect l="-21" t="-63" r="-21" b="6486"/>
                  <a:stretch>
                    <a:fillRect/>
                  </a:stretch>
                </pic:blipFill>
                <pic:spPr bwMode="auto">
                  <a:xfrm>
                    <a:off x="0" y="0"/>
                    <a:ext cx="1005840" cy="304165"/>
                  </a:xfrm>
                  <a:prstGeom prst="rect">
                    <a:avLst/>
                  </a:prstGeom>
                  <a:noFill/>
                </pic:spPr>
              </pic:pic>
            </a:graphicData>
          </a:graphic>
        </wp:inline>
      </w:drawing>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eskNoteBar"/>
      <w:widowControl/>
      <w:shd w:fill="FF0000" w:val="clear"/>
      <w:bidi w:val="0"/>
      <w:spacing w:before="0" w:after="120"/>
      <w:ind w:hanging="0" w:start="720" w:end="3240"/>
      <w:jc w:val="center"/>
      <w:rPr/>
    </w:pPr>
    <w:r>
      <w:rPr/>
      <w:t>Desk Notes</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6" w:space="1" w:color="000000"/>
      </w:pBdr>
      <w:spacing w:before="0" w:after="120"/>
      <w:rPr/>
    </w:pPr>
    <w:r>
      <w:rPr/>
      <w:drawing>
        <wp:inline distT="0" distB="0" distL="0" distR="0">
          <wp:extent cx="1799590" cy="640080"/>
          <wp:effectExtent l="0" t="0" r="0" b="0"/>
          <wp:docPr id="14" name="Image1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5" descr="" title=""/>
                  <pic:cNvPicPr>
                    <a:picLocks noChangeAspect="1" noChangeArrowheads="1"/>
                  </pic:cNvPicPr>
                </pic:nvPicPr>
                <pic:blipFill>
                  <a:blip r:embed="rId1"/>
                  <a:srcRect l="3760" t="-57" r="-19" b="-340"/>
                  <a:stretch>
                    <a:fillRect/>
                  </a:stretch>
                </pic:blipFill>
                <pic:spPr bwMode="auto">
                  <a:xfrm>
                    <a:off x="0" y="0"/>
                    <a:ext cx="1799590" cy="640080"/>
                  </a:xfrm>
                  <a:prstGeom prst="rect">
                    <a:avLst/>
                  </a:prstGeom>
                  <a:noFill/>
                </pic:spPr>
              </pic:pic>
            </a:graphicData>
          </a:graphic>
        </wp:inline>
      </w:drawing>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0"/>
        </w:tabs>
        <w:ind w:start="0" w:hanging="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sz w:val="20"/>
        <w:i w:val="false"/>
        <w:b/>
        <w:color w:val="auto"/>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suppressAutoHyphens w:val="false"/>
      <w:bidi w:val="0"/>
      <w:spacing w:before="0" w:after="120"/>
      <w:jc w:val="both"/>
    </w:pPr>
    <w:rPr>
      <w:rFonts w:ascii="Arial" w:hAnsi="Arial" w:eastAsia="Times New Roman" w:cs="Arial"/>
      <w:color w:val="auto"/>
      <w:sz w:val="20"/>
      <w:szCs w:val="20"/>
      <w:lang w:val="en-US" w:bidi="ar-SA" w:eastAsia="zh-CN"/>
    </w:rPr>
  </w:style>
  <w:style w:type="paragraph" w:styleId="Heading1">
    <w:name w:val="heading 1"/>
    <w:basedOn w:val="Normal"/>
    <w:next w:val="Normal"/>
    <w:qFormat/>
    <w:pPr>
      <w:keepNext w:val="true"/>
      <w:numPr>
        <w:ilvl w:val="0"/>
        <w:numId w:val="1"/>
      </w:numPr>
      <w:spacing w:before="0" w:after="320"/>
      <w:jc w:val="start"/>
      <w:outlineLvl w:val="0"/>
    </w:pPr>
    <w:rPr>
      <w:rFonts w:ascii="Helvetica" w:hAnsi="Helvetica" w:cs="Helvetica"/>
      <w:b/>
      <w:caps/>
      <w:kern w:val="2"/>
      <w:sz w:val="24"/>
    </w:rPr>
  </w:style>
  <w:style w:type="paragraph" w:styleId="Heading2">
    <w:name w:val="heading 2"/>
    <w:basedOn w:val="Normal"/>
    <w:next w:val="Normal"/>
    <w:qFormat/>
    <w:pPr>
      <w:keepNext w:val="true"/>
      <w:numPr>
        <w:ilvl w:val="1"/>
        <w:numId w:val="1"/>
      </w:numPr>
      <w:spacing w:before="10" w:after="120"/>
      <w:jc w:val="start"/>
      <w:outlineLvl w:val="1"/>
    </w:pPr>
    <w:rPr>
      <w:rFonts w:ascii="Arial Narrow" w:hAnsi="Arial Narrow" w:cs="Arial Narrow"/>
      <w:b/>
    </w:rPr>
  </w:style>
  <w:style w:type="paragraph" w:styleId="Heading3">
    <w:name w:val="heading 3"/>
    <w:basedOn w:val="Normal"/>
    <w:next w:val="Normal"/>
    <w:qFormat/>
    <w:pPr>
      <w:keepNext w:val="true"/>
      <w:numPr>
        <w:ilvl w:val="2"/>
        <w:numId w:val="1"/>
      </w:numPr>
      <w:jc w:val="center"/>
      <w:outlineLvl w:val="2"/>
    </w:pPr>
    <w:rPr>
      <w:sz w:val="22"/>
    </w:rPr>
  </w:style>
  <w:style w:type="paragraph" w:styleId="Heading4">
    <w:name w:val="heading 4"/>
    <w:basedOn w:val="Normal"/>
    <w:next w:val="Normal"/>
    <w:qFormat/>
    <w:pPr>
      <w:keepNext w:val="true"/>
      <w:numPr>
        <w:ilvl w:val="3"/>
        <w:numId w:val="1"/>
      </w:numPr>
      <w:spacing w:before="0" w:after="360"/>
      <w:outlineLvl w:val="3"/>
    </w:pPr>
    <w:rPr>
      <w:sz w:val="24"/>
    </w:rPr>
  </w:style>
  <w:style w:type="paragraph" w:styleId="Heading5">
    <w:name w:val="heading 5"/>
    <w:basedOn w:val="Normal"/>
    <w:next w:val="Normal"/>
    <w:qFormat/>
    <w:pPr>
      <w:keepNext w:val="true"/>
      <w:numPr>
        <w:ilvl w:val="4"/>
        <w:numId w:val="1"/>
      </w:numPr>
      <w:spacing w:before="60" w:after="0"/>
      <w:ind w:hanging="0" w:start="86" w:end="0"/>
      <w:jc w:val="start"/>
      <w:outlineLvl w:val="4"/>
    </w:pPr>
    <w:rPr>
      <w:b/>
    </w:rPr>
  </w:style>
  <w:style w:type="paragraph" w:styleId="Heading6">
    <w:name w:val="heading 6"/>
    <w:basedOn w:val="Normal"/>
    <w:next w:val="Normal"/>
    <w:qFormat/>
    <w:pPr>
      <w:keepNext w:val="true"/>
      <w:numPr>
        <w:ilvl w:val="5"/>
        <w:numId w:val="1"/>
      </w:numPr>
      <w:spacing w:before="60" w:after="0"/>
      <w:ind w:hanging="0" w:start="86" w:end="0"/>
      <w:jc w:val="start"/>
      <w:outlineLvl w:val="5"/>
    </w:pPr>
    <w:rPr>
      <w:b/>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sz w:val="22"/>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b/>
      <w:i w:val="false"/>
      <w:color w:val="FFFFFF"/>
      <w:sz w:val="32"/>
    </w:rPr>
  </w:style>
  <w:style w:type="character" w:styleId="WW8Num49z0">
    <w:name w:val="WW8Num49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8z0">
    <w:name w:val="WW8Num58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Symbol" w:hAnsi="Symbol" w:cs="Symbol"/>
      <w:sz w:val="22"/>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8z0">
    <w:name w:val="WW8Num68z0"/>
    <w:qFormat/>
    <w:rPr>
      <w:rFonts w:ascii="Symbol" w:hAnsi="Symbol" w:cs="Symbol"/>
    </w:rPr>
  </w:style>
  <w:style w:type="character" w:styleId="WW8Num70z0">
    <w:name w:val="WW8Num70z0"/>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rFonts w:ascii="Symbol" w:hAnsi="Symbol" w:cs="Symbol"/>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4z0">
    <w:name w:val="WW8Num84z0"/>
    <w:qFormat/>
    <w:rPr>
      <w:rFonts w:ascii="Symbol" w:hAnsi="Symbol" w:cs="Symbol"/>
    </w:rPr>
  </w:style>
  <w:style w:type="character" w:styleId="WW8Num85z0">
    <w:name w:val="WW8Num85z0"/>
    <w:qFormat/>
    <w:rPr>
      <w:rFonts w:ascii="Symbol" w:hAnsi="Symbol" w:cs="Symbol"/>
      <w:sz w:val="22"/>
    </w:rPr>
  </w:style>
  <w:style w:type="character" w:styleId="WW8Num87z0">
    <w:name w:val="WW8Num87z0"/>
    <w:qFormat/>
    <w:rPr>
      <w:rFonts w:ascii="Symbol" w:hAnsi="Symbol" w:cs="Symbol"/>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b/>
      <w:i w:val="false"/>
      <w:color w:val="auto"/>
      <w:sz w:val="20"/>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3z0">
    <w:name w:val="WW8Num93z0"/>
    <w:qFormat/>
    <w:rPr>
      <w:rFonts w:ascii="Symbol" w:hAnsi="Symbol" w:cs="Symbol"/>
    </w:rPr>
  </w:style>
  <w:style w:type="character" w:styleId="WW8Num94z0">
    <w:name w:val="WW8Num94z0"/>
    <w:qFormat/>
    <w:rPr>
      <w:rFonts w:ascii="Symbol" w:hAnsi="Symbol" w:cs="Symbol"/>
    </w:rPr>
  </w:style>
  <w:style w:type="character" w:styleId="WW8Num95z0">
    <w:name w:val="WW8Num95z0"/>
    <w:qFormat/>
    <w:rPr>
      <w:rFonts w:ascii="Symbol" w:hAnsi="Symbol" w:cs="Symbol"/>
    </w:rPr>
  </w:style>
  <w:style w:type="character" w:styleId="WW8Num96z0">
    <w:name w:val="WW8Num96z0"/>
    <w:qFormat/>
    <w:rPr>
      <w:rFonts w:ascii="Symbol" w:hAnsi="Symbol" w:cs="Symbol"/>
    </w:rPr>
  </w:style>
  <w:style w:type="character" w:styleId="WW8Num97z0">
    <w:name w:val="WW8Num97z0"/>
    <w:qFormat/>
    <w:rPr>
      <w:b/>
      <w:i w:val="false"/>
      <w:color w:val="FFFFFF"/>
      <w:sz w:val="32"/>
    </w:rPr>
  </w:style>
  <w:style w:type="character" w:styleId="WW8Num98z0">
    <w:name w:val="WW8Num98z0"/>
    <w:qFormat/>
    <w:rPr>
      <w:rFonts w:ascii="Symbol" w:hAnsi="Symbol" w:cs="Symbol"/>
    </w:rPr>
  </w:style>
  <w:style w:type="character" w:styleId="WW8Num99z0">
    <w:name w:val="WW8Num99z0"/>
    <w:qFormat/>
    <w:rPr>
      <w:rFonts w:ascii="Symbol" w:hAnsi="Symbol" w:cs="Symbol"/>
    </w:rPr>
  </w:style>
  <w:style w:type="character" w:styleId="WW8Num100z0">
    <w:name w:val="WW8Num100z0"/>
    <w:qFormat/>
    <w:rPr>
      <w:rFonts w:ascii="Symbol" w:hAnsi="Symbol" w:cs="Symbol"/>
    </w:rPr>
  </w:style>
  <w:style w:type="character" w:styleId="WW8Num101z0">
    <w:name w:val="WW8Num101z0"/>
    <w:qFormat/>
    <w:rPr>
      <w:b/>
      <w:i w:val="false"/>
      <w:color w:val="FFFFFF"/>
      <w:sz w:val="32"/>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0">
    <w:name w:val="WW8Num104z0"/>
    <w:qFormat/>
    <w:rPr>
      <w:rFonts w:ascii="Symbol" w:hAnsi="Symbol" w:cs="Symbol"/>
    </w:rPr>
  </w:style>
  <w:style w:type="character" w:styleId="WW8Num105z0">
    <w:name w:val="WW8Num105z0"/>
    <w:qFormat/>
    <w:rPr>
      <w:rFonts w:ascii="Symbol" w:hAnsi="Symbol" w:cs="Symbol"/>
    </w:rPr>
  </w:style>
  <w:style w:type="character" w:styleId="WW8Num106z0">
    <w:name w:val="WW8Num106z0"/>
    <w:qFormat/>
    <w:rPr>
      <w:rFonts w:ascii="Symbol" w:hAnsi="Symbol" w:cs="Symbol"/>
    </w:rPr>
  </w:style>
  <w:style w:type="character" w:styleId="WW8Num107z0">
    <w:name w:val="WW8Num107z0"/>
    <w:qFormat/>
    <w:rPr>
      <w:rFonts w:ascii="Symbol" w:hAnsi="Symbol" w:cs="Symbol"/>
    </w:rPr>
  </w:style>
  <w:style w:type="character" w:styleId="WW8Num108z0">
    <w:name w:val="WW8Num108z0"/>
    <w:qFormat/>
    <w:rPr>
      <w:rFonts w:ascii="Symbol" w:hAnsi="Symbol" w:cs="Symbol"/>
    </w:rPr>
  </w:style>
  <w:style w:type="character" w:styleId="WW8Num109z0">
    <w:name w:val="WW8Num109z0"/>
    <w:qFormat/>
    <w:rPr>
      <w:rFonts w:ascii="Symbol" w:hAnsi="Symbol" w:cs="Symbol"/>
    </w:rPr>
  </w:style>
  <w:style w:type="character" w:styleId="WW8Num110z0">
    <w:name w:val="WW8Num110z0"/>
    <w:qFormat/>
    <w:rPr>
      <w:rFonts w:ascii="Symbol" w:hAnsi="Symbol" w:cs="Symbol"/>
    </w:rPr>
  </w:style>
  <w:style w:type="character" w:styleId="WW8Num111z0">
    <w:name w:val="WW8Num111z0"/>
    <w:qFormat/>
    <w:rPr>
      <w:rFonts w:ascii="Symbol" w:hAnsi="Symbol" w:cs="Symbol"/>
    </w:rPr>
  </w:style>
  <w:style w:type="character" w:styleId="WW8Num112z0">
    <w:name w:val="WW8Num112z0"/>
    <w:qFormat/>
    <w:rPr>
      <w:rFonts w:ascii="Symbol" w:hAnsi="Symbol" w:cs="Symbol"/>
    </w:rPr>
  </w:style>
  <w:style w:type="character" w:styleId="WW8Num113z0">
    <w:name w:val="WW8Num113z0"/>
    <w:qFormat/>
    <w:rPr>
      <w:rFonts w:ascii="Symbol" w:hAnsi="Symbol" w:cs="Symbol"/>
    </w:rPr>
  </w:style>
  <w:style w:type="character" w:styleId="WW8Num115z0">
    <w:name w:val="WW8Num115z0"/>
    <w:qFormat/>
    <w:rPr>
      <w:rFonts w:ascii="Symbol" w:hAnsi="Symbol" w:cs="Symbol"/>
    </w:rPr>
  </w:style>
  <w:style w:type="character" w:styleId="WW8Num116z0">
    <w:name w:val="WW8Num116z0"/>
    <w:qFormat/>
    <w:rPr>
      <w:rFonts w:ascii="Symbol" w:hAnsi="Symbol" w:cs="Symbol"/>
    </w:rPr>
  </w:style>
  <w:style w:type="character" w:styleId="WW8Num117z0">
    <w:name w:val="WW8Num117z0"/>
    <w:qFormat/>
    <w:rPr>
      <w:rFonts w:ascii="Symbol" w:hAnsi="Symbol" w:cs="Symbol"/>
    </w:rPr>
  </w:style>
  <w:style w:type="character" w:styleId="WW8Num118z0">
    <w:name w:val="WW8Num118z0"/>
    <w:qFormat/>
    <w:rPr>
      <w:rFonts w:ascii="Symbol" w:hAnsi="Symbol" w:cs="Symbol"/>
    </w:rPr>
  </w:style>
  <w:style w:type="character" w:styleId="WW8Num119z0">
    <w:name w:val="WW8Num119z0"/>
    <w:qFormat/>
    <w:rPr>
      <w:b/>
      <w:i w:val="false"/>
      <w:color w:val="FFFFFF"/>
      <w:sz w:val="32"/>
    </w:rPr>
  </w:style>
  <w:style w:type="character" w:styleId="WW8Num120z0">
    <w:name w:val="WW8Num120z0"/>
    <w:qFormat/>
    <w:rPr>
      <w:rFonts w:ascii="Symbol" w:hAnsi="Symbol" w:cs="Symbol"/>
    </w:rPr>
  </w:style>
  <w:style w:type="character" w:styleId="WW8Num121z0">
    <w:name w:val="WW8Num121z0"/>
    <w:qFormat/>
    <w:rPr>
      <w:rFonts w:ascii="Symbol" w:hAnsi="Symbol" w:cs="Symbol"/>
    </w:rPr>
  </w:style>
  <w:style w:type="character" w:styleId="WW8Num122z0">
    <w:name w:val="WW8Num122z0"/>
    <w:qFormat/>
    <w:rPr>
      <w:rFonts w:ascii="Symbol" w:hAnsi="Symbol" w:cs="Symbol"/>
    </w:rPr>
  </w:style>
  <w:style w:type="character" w:styleId="WW8Num123z0">
    <w:name w:val="WW8Num123z0"/>
    <w:qFormat/>
    <w:rPr>
      <w:rFonts w:ascii="Symbol" w:hAnsi="Symbol" w:cs="Symbol"/>
    </w:rPr>
  </w:style>
  <w:style w:type="character" w:styleId="WW8Num125z0">
    <w:name w:val="WW8Num125z0"/>
    <w:qFormat/>
    <w:rPr>
      <w:rFonts w:ascii="Symbol" w:hAnsi="Symbol" w:cs="Symbol"/>
    </w:rPr>
  </w:style>
  <w:style w:type="character" w:styleId="WW8Num126z0">
    <w:name w:val="WW8Num126z0"/>
    <w:qFormat/>
    <w:rPr>
      <w:rFonts w:ascii="Symbol" w:hAnsi="Symbol" w:cs="Symbol"/>
    </w:rPr>
  </w:style>
  <w:style w:type="character" w:styleId="WW8Num128z0">
    <w:name w:val="WW8Num128z0"/>
    <w:qFormat/>
    <w:rPr>
      <w:rFonts w:ascii="Symbol" w:hAnsi="Symbol" w:cs="Symbol"/>
    </w:rPr>
  </w:style>
  <w:style w:type="character" w:styleId="WW8Num129z0">
    <w:name w:val="WW8Num129z0"/>
    <w:qFormat/>
    <w:rPr>
      <w:rFonts w:ascii="Symbol" w:hAnsi="Symbol" w:cs="Symbol"/>
    </w:rPr>
  </w:style>
  <w:style w:type="character" w:styleId="WW8Num130z0">
    <w:name w:val="WW8Num130z0"/>
    <w:qFormat/>
    <w:rPr>
      <w:rFonts w:ascii="Symbol" w:hAnsi="Symbol" w:cs="Symbol"/>
    </w:rPr>
  </w:style>
  <w:style w:type="character" w:styleId="WW8Num131z0">
    <w:name w:val="WW8Num131z0"/>
    <w:qFormat/>
    <w:rPr>
      <w:b/>
      <w:i w:val="false"/>
      <w:color w:val="FFFFFF"/>
      <w:sz w:val="32"/>
    </w:rPr>
  </w:style>
  <w:style w:type="character" w:styleId="WW8Num132z0">
    <w:name w:val="WW8Num132z0"/>
    <w:qFormat/>
    <w:rPr>
      <w:rFonts w:ascii="Symbol" w:hAnsi="Symbol" w:cs="Symbol"/>
    </w:rPr>
  </w:style>
  <w:style w:type="character" w:styleId="WW8Num133z0">
    <w:name w:val="WW8Num133z0"/>
    <w:qFormat/>
    <w:rPr>
      <w:rFonts w:ascii="Symbol" w:hAnsi="Symbol" w:cs="Symbol"/>
    </w:rPr>
  </w:style>
  <w:style w:type="character" w:styleId="WW8Num137z0">
    <w:name w:val="WW8Num137z0"/>
    <w:qFormat/>
    <w:rPr>
      <w:rFonts w:ascii="Symbol" w:hAnsi="Symbol" w:cs="Symbol"/>
    </w:rPr>
  </w:style>
  <w:style w:type="character" w:styleId="WW8Num138z0">
    <w:name w:val="WW8Num138z0"/>
    <w:qFormat/>
    <w:rPr>
      <w:rFonts w:ascii="Symbol" w:hAnsi="Symbol" w:cs="Symbol"/>
    </w:rPr>
  </w:style>
  <w:style w:type="character" w:styleId="WW8Num139z0">
    <w:name w:val="WW8Num139z0"/>
    <w:qFormat/>
    <w:rPr>
      <w:rFonts w:ascii="Symbol" w:hAnsi="Symbol" w:cs="Symbol"/>
    </w:rPr>
  </w:style>
  <w:style w:type="character" w:styleId="WW8Num140z0">
    <w:name w:val="WW8Num140z0"/>
    <w:qFormat/>
    <w:rPr>
      <w:rFonts w:ascii="Symbol" w:hAnsi="Symbol" w:cs="Symbol"/>
    </w:rPr>
  </w:style>
  <w:style w:type="character" w:styleId="WW8Num141z0">
    <w:name w:val="WW8Num141z0"/>
    <w:qFormat/>
    <w:rPr>
      <w:rFonts w:ascii="Symbol" w:hAnsi="Symbol" w:cs="Symbol"/>
    </w:rPr>
  </w:style>
  <w:style w:type="character" w:styleId="WW8Num142z0">
    <w:name w:val="WW8Num142z0"/>
    <w:qFormat/>
    <w:rPr>
      <w:rFonts w:ascii="Wingdings" w:hAnsi="Wingdings" w:cs="Wingdings"/>
      <w:sz w:val="22"/>
    </w:rPr>
  </w:style>
  <w:style w:type="character" w:styleId="WW8Num143z0">
    <w:name w:val="WW8Num143z0"/>
    <w:qFormat/>
    <w:rPr>
      <w:rFonts w:ascii="Symbol" w:hAnsi="Symbol" w:cs="Symbol"/>
    </w:rPr>
  </w:style>
  <w:style w:type="character" w:styleId="WW8Num144z0">
    <w:name w:val="WW8Num144z0"/>
    <w:qFormat/>
    <w:rPr>
      <w:rFonts w:ascii="Symbol" w:hAnsi="Symbol" w:cs="Symbol"/>
    </w:rPr>
  </w:style>
  <w:style w:type="character" w:styleId="WW8NumSt58z0">
    <w:name w:val="WW8NumSt58z0"/>
    <w:qFormat/>
    <w:rPr>
      <w:rFonts w:ascii="Symbol" w:hAnsi="Symbol" w:cs="Symbol"/>
    </w:rPr>
  </w:style>
  <w:style w:type="character" w:styleId="DefaultParagraphFont">
    <w:name w:val="Default Paragraph Font"/>
    <w:qFormat/>
    <w:rPr/>
  </w:style>
  <w:style w:type="character" w:styleId="Head4">
    <w:name w:val="Head4"/>
    <w:basedOn w:val="DefaultParagraphFont"/>
    <w:qFormat/>
    <w:rPr>
      <w:rFonts w:ascii="Arial" w:hAnsi="Arial" w:cs="Arial"/>
      <w:b/>
      <w:sz w:val="20"/>
      <w:lang w:val="en-US"/>
    </w:rPr>
  </w:style>
  <w:style w:type="character" w:styleId="Location">
    <w:name w:val="Location"/>
    <w:qFormat/>
    <w:rPr>
      <w:sz w:val="16"/>
      <w:lang w:val="en-US"/>
    </w:rPr>
  </w:style>
  <w:style w:type="character" w:styleId="Marker">
    <w:name w:val="Marker"/>
    <w:basedOn w:val="DefaultParagraphFont"/>
    <w:qFormat/>
    <w:rPr>
      <w:rFonts w:ascii="Arial" w:hAnsi="Arial" w:cs="Arial"/>
      <w:b/>
      <w:caps/>
      <w:vanish/>
      <w:color w:val="FF0000"/>
      <w:sz w:val="16"/>
      <w:lang w:val="en-US"/>
    </w:rPr>
  </w:style>
  <w:style w:type="character" w:styleId="PageNumber">
    <w:name w:val="page number"/>
    <w:basedOn w:val="DefaultParagraphFont"/>
    <w:rPr/>
  </w:style>
  <w:style w:type="character" w:styleId="DataBoxDate">
    <w:name w:val="DataBoxDate"/>
    <w:basedOn w:val="DefaultParagraphFont"/>
    <w:qFormat/>
    <w:rPr>
      <w:rFonts w:ascii="Arial Narrow" w:hAnsi="Arial Narrow" w:cs="Arial Narrow"/>
      <w:b/>
      <w:sz w:val="18"/>
    </w:rPr>
  </w:style>
  <w:style w:type="character" w:styleId="FollowedHyperlink">
    <w:name w:val="FollowedHyperlink"/>
    <w:basedOn w:val="DefaultParagraphFont"/>
    <w:rPr>
      <w:color w:val="800080"/>
      <w:u w:val="single"/>
    </w:rPr>
  </w:style>
  <w:style w:type="character" w:styleId="Arrow">
    <w:name w:val="Arrow"/>
    <w:basedOn w:val="DefaultParagraphFont"/>
    <w:qFormat/>
    <w:rPr>
      <w:rFonts w:ascii="Arial" w:hAnsi="Arial" w:cs="Arial"/>
      <w:b/>
      <w:sz w:val="28"/>
      <w:lang w:val="en-US"/>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lHead">
    <w:name w:val="TableColHead"/>
    <w:basedOn w:val="Normal"/>
    <w:qFormat/>
    <w:pPr>
      <w:keepNext w:val="true"/>
      <w:keepLines/>
      <w:spacing w:before="0" w:after="0"/>
      <w:jc w:val="start"/>
    </w:pPr>
    <w:rPr>
      <w:rFonts w:ascii="Arial Narrow" w:hAnsi="Arial Narrow" w:cs="Arial Narrow"/>
      <w:b/>
      <w:sz w:val="16"/>
    </w:rPr>
  </w:style>
  <w:style w:type="paragraph" w:styleId="Address">
    <w:name w:val="Address"/>
    <w:basedOn w:val="Normal"/>
    <w:next w:val="Normal"/>
    <w:qFormat/>
    <w:pPr>
      <w:spacing w:before="0" w:after="240"/>
      <w:jc w:val="star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right" w:pos="7655" w:leader="none"/>
      </w:tabs>
      <w:spacing w:before="0" w:after="0"/>
      <w:ind w:hanging="0" w:start="-2376" w:end="0"/>
      <w:jc w:val="start"/>
    </w:pPr>
    <w:rPr/>
  </w:style>
  <w:style w:type="paragraph" w:styleId="Disclaimer">
    <w:name w:val="Disclaimer"/>
    <w:basedOn w:val="Normal"/>
    <w:qFormat/>
    <w:pPr>
      <w:pBdr>
        <w:top w:val="single" w:sz="6" w:space="4" w:color="000000"/>
      </w:pBdr>
      <w:spacing w:before="0" w:after="60"/>
    </w:pPr>
    <w:rPr>
      <w:rFonts w:ascii="Arial Narrow" w:hAnsi="Arial Narrow" w:cs="Arial Narrow"/>
      <w:sz w:val="16"/>
    </w:rPr>
  </w:style>
  <w:style w:type="paragraph" w:styleId="FooterRegular">
    <w:name w:val="Footer Regular"/>
    <w:basedOn w:val="Footer"/>
    <w:qFormat/>
    <w:pPr>
      <w:pBdr>
        <w:top w:val="single" w:sz="6" w:space="1" w:color="000000"/>
      </w:pBdr>
      <w:tabs>
        <w:tab w:val="clear" w:pos="7655"/>
      </w:tabs>
      <w:jc w:val="center"/>
    </w:pPr>
    <w:rPr/>
  </w:style>
  <w:style w:type="paragraph" w:styleId="HeaderLogoEvenPg">
    <w:name w:val="Header Logo Even Pg"/>
    <w:basedOn w:val="Normal"/>
    <w:qFormat/>
    <w:pPr>
      <w:keepNext w:val="true"/>
      <w:pBdr>
        <w:bottom w:val="single" w:sz="6" w:space="6" w:color="000000"/>
      </w:pBdr>
      <w:tabs>
        <w:tab w:val="clear" w:pos="720"/>
        <w:tab w:val="left" w:pos="4680" w:leader="none"/>
      </w:tabs>
      <w:spacing w:before="60" w:after="0"/>
      <w:ind w:hanging="0" w:start="-2390" w:end="-43"/>
      <w:jc w:val="start"/>
    </w:pPr>
    <w:rPr>
      <w:sz w:val="24"/>
    </w:rPr>
  </w:style>
  <w:style w:type="paragraph" w:styleId="Logo">
    <w:name w:val="Logo"/>
    <w:qFormat/>
    <w:pPr>
      <w:widowControl/>
      <w:tabs>
        <w:tab w:val="clear" w:pos="720"/>
        <w:tab w:val="right" w:pos="7430" w:leader="none"/>
      </w:tabs>
      <w:bidi w:val="0"/>
      <w:ind w:hanging="0" w:start="-2477" w:end="0"/>
    </w:pPr>
    <w:rPr>
      <w:rFonts w:ascii="Arial Narrow" w:hAnsi="Arial Narrow" w:eastAsia="Times New Roman" w:cs="Arial Narrow"/>
      <w:caps/>
      <w:color w:val="auto"/>
      <w:sz w:val="20"/>
      <w:szCs w:val="20"/>
      <w:vertAlign w:val="superscript"/>
      <w:lang w:val="en-US" w:bidi="ar-SA" w:eastAsia="zh-CN"/>
    </w:rPr>
  </w:style>
  <w:style w:type="paragraph" w:styleId="OfficeBar">
    <w:name w:val="OfficeBar"/>
    <w:qFormat/>
    <w:pPr>
      <w:widowControl/>
      <w:tabs>
        <w:tab w:val="clear" w:pos="720"/>
        <w:tab w:val="right" w:pos="9957" w:leader="none"/>
      </w:tabs>
      <w:bidi w:val="0"/>
      <w:spacing w:lineRule="exact" w:line="310" w:before="40" w:after="120"/>
      <w:ind w:hanging="0" w:start="2477" w:end="0"/>
      <w:jc w:val="both"/>
    </w:pPr>
    <w:rPr>
      <w:rFonts w:ascii="Arial" w:hAnsi="Arial" w:eastAsia="Times New Roman" w:cs="Arial"/>
      <w:b/>
      <w:color w:val="FFFFFF"/>
      <w:sz w:val="22"/>
      <w:szCs w:val="20"/>
      <w:lang w:val="en-US" w:bidi="ar-SA" w:eastAsia="zh-CN"/>
    </w:rPr>
  </w:style>
  <w:style w:type="paragraph" w:styleId="Head1">
    <w:name w:val="Head1"/>
    <w:next w:val="Text"/>
    <w:qFormat/>
    <w:pPr>
      <w:keepNext w:val="true"/>
      <w:pageBreakBefore/>
      <w:widowControl/>
      <w:pBdr>
        <w:bottom w:val="single" w:sz="4" w:space="1" w:color="000000"/>
      </w:pBdr>
      <w:bidi w:val="0"/>
      <w:spacing w:before="0" w:after="240"/>
    </w:pPr>
    <w:rPr>
      <w:rFonts w:ascii="Arial" w:hAnsi="Arial" w:eastAsia="Times New Roman" w:cs="Arial"/>
      <w:b/>
      <w:color w:val="auto"/>
      <w:sz w:val="24"/>
      <w:szCs w:val="20"/>
      <w:lang w:val="en-US" w:bidi="ar-SA" w:eastAsia="zh-CN"/>
    </w:rPr>
  </w:style>
  <w:style w:type="paragraph" w:styleId="Text">
    <w:name w:val="Text"/>
    <w:qFormat/>
    <w:pPr>
      <w:widowControl/>
      <w:bidi w:val="0"/>
      <w:spacing w:before="0" w:after="120"/>
    </w:pPr>
    <w:rPr>
      <w:rFonts w:ascii="Arial" w:hAnsi="Arial" w:eastAsia="Times New Roman" w:cs="Arial"/>
      <w:color w:val="auto"/>
      <w:sz w:val="20"/>
      <w:szCs w:val="20"/>
      <w:lang w:val="en-US" w:bidi="ar-SA" w:eastAsia="zh-CN"/>
    </w:rPr>
  </w:style>
  <w:style w:type="paragraph" w:styleId="LogoHead">
    <w:name w:val="LogoHead"/>
    <w:basedOn w:val="Normal"/>
    <w:qFormat/>
    <w:pPr>
      <w:tabs>
        <w:tab w:val="clear" w:pos="720"/>
        <w:tab w:val="right" w:pos="4422" w:leader="none"/>
        <w:tab w:val="left" w:pos="5216" w:leader="none"/>
        <w:tab w:val="right" w:pos="8050" w:leader="none"/>
      </w:tabs>
      <w:spacing w:before="1" w:after="120"/>
      <w:jc w:val="start"/>
    </w:pPr>
    <w:rPr>
      <w:rFonts w:ascii="Arial Narrow" w:hAnsi="Arial Narrow" w:cs="Arial Narrow"/>
      <w:caps/>
    </w:rPr>
  </w:style>
  <w:style w:type="paragraph" w:styleId="Office">
    <w:name w:val="Office"/>
    <w:basedOn w:val="Normal"/>
    <w:qFormat/>
    <w:pPr>
      <w:tabs>
        <w:tab w:val="clear" w:pos="720"/>
        <w:tab w:val="right" w:pos="4320" w:leader="none"/>
        <w:tab w:val="left" w:pos="5760" w:leader="none"/>
        <w:tab w:val="right" w:pos="9450" w:leader="none"/>
      </w:tabs>
      <w:spacing w:before="0" w:after="0"/>
      <w:jc w:val="start"/>
    </w:pPr>
    <w:rPr/>
  </w:style>
  <w:style w:type="paragraph" w:styleId="Region2">
    <w:name w:val="Region2"/>
    <w:basedOn w:val="Normal"/>
    <w:next w:val="Address"/>
    <w:qFormat/>
    <w:pPr>
      <w:spacing w:before="240" w:after="120"/>
      <w:jc w:val="start"/>
    </w:pPr>
    <w:rPr>
      <w:b/>
      <w:color w:val="00FFFF"/>
      <w:sz w:val="28"/>
    </w:rPr>
  </w:style>
  <w:style w:type="paragraph" w:styleId="HeaderMain">
    <w:name w:val="HeaderMain"/>
    <w:basedOn w:val="Normal"/>
    <w:qFormat/>
    <w:pPr>
      <w:keepNext w:val="true"/>
      <w:pBdr>
        <w:bottom w:val="single" w:sz="6" w:space="6" w:color="000000"/>
      </w:pBdr>
      <w:tabs>
        <w:tab w:val="clear" w:pos="720"/>
        <w:tab w:val="right" w:pos="7200" w:leader="none"/>
      </w:tabs>
      <w:spacing w:before="60" w:after="0"/>
      <w:ind w:hanging="0" w:start="-2390" w:end="-43"/>
      <w:jc w:val="start"/>
    </w:pPr>
    <w:rPr>
      <w:sz w:val="24"/>
    </w:rPr>
  </w:style>
  <w:style w:type="paragraph" w:styleId="TableTitle">
    <w:name w:val="TableTitle"/>
    <w:basedOn w:val="Normal"/>
    <w:qFormat/>
    <w:pPr>
      <w:keepNext w:val="true"/>
      <w:pBdr>
        <w:top w:val="single" w:sz="6" w:space="1" w:color="000000"/>
      </w:pBdr>
      <w:spacing w:before="0" w:after="0"/>
      <w:jc w:val="start"/>
    </w:pPr>
    <w:rPr>
      <w:b/>
    </w:rPr>
  </w:style>
  <w:style w:type="paragraph" w:styleId="CameraReadyTableTitle">
    <w:name w:val="CameraReadyTableTitle"/>
    <w:basedOn w:val="TableTitle"/>
    <w:qFormat/>
    <w:pPr>
      <w:pBdr>
        <w:top w:val="nil"/>
        <w:bottom w:val="single" w:sz="6" w:space="1" w:color="000000"/>
      </w:pBdr>
    </w:pPr>
    <w:rPr/>
  </w:style>
  <w:style w:type="paragraph" w:styleId="TableSubTitle">
    <w:name w:val="TableSubTitle"/>
    <w:basedOn w:val="TableTitle"/>
    <w:next w:val="TableBody"/>
    <w:qFormat/>
    <w:pPr>
      <w:keepNext w:val="false"/>
      <w:keepLines/>
    </w:pPr>
    <w:rPr>
      <w:b w:val="false"/>
      <w:sz w:val="16"/>
    </w:rPr>
  </w:style>
  <w:style w:type="paragraph" w:styleId="CameraReadyTableSubtitle">
    <w:name w:val="CameraReadyTableSubtitle"/>
    <w:basedOn w:val="TableSubTitle"/>
    <w:qFormat/>
    <w:pPr>
      <w:keepNext w:val="true"/>
      <w:pBdr>
        <w:top w:val="nil"/>
        <w:bottom w:val="single" w:sz="6" w:space="1" w:color="000000"/>
      </w:pBdr>
    </w:pPr>
    <w:rPr/>
  </w:style>
  <w:style w:type="paragraph" w:styleId="TableBody">
    <w:name w:val="TableBody"/>
    <w:basedOn w:val="Normal"/>
    <w:qFormat/>
    <w:pPr>
      <w:keepNext w:val="true"/>
      <w:keepLines/>
      <w:spacing w:before="0" w:after="0"/>
      <w:jc w:val="start"/>
    </w:pPr>
    <w:rPr>
      <w:rFonts w:ascii="Arial Narrow" w:hAnsi="Arial Narrow" w:cs="Arial Narrow"/>
      <w:sz w:val="18"/>
    </w:rPr>
  </w:style>
  <w:style w:type="paragraph" w:styleId="Header">
    <w:name w:val="header"/>
    <w:basedOn w:val="Normal"/>
    <w:pPr>
      <w:tabs>
        <w:tab w:val="clear" w:pos="720"/>
        <w:tab w:val="center" w:pos="4320" w:leader="none"/>
        <w:tab w:val="right" w:pos="8640" w:leader="none"/>
      </w:tabs>
    </w:pPr>
    <w:rPr/>
  </w:style>
  <w:style w:type="paragraph" w:styleId="Tick">
    <w:name w:val="Tick"/>
    <w:qFormat/>
    <w:pPr>
      <w:widowControl/>
      <w:bidi w:val="0"/>
      <w:spacing w:before="156" w:after="0"/>
      <w:ind w:hanging="0" w:start="-115" w:end="14"/>
      <w:jc w:val="end"/>
    </w:pPr>
    <w:rPr>
      <w:rFonts w:ascii="Arial Narrow" w:hAnsi="Arial Narrow" w:eastAsia="Times New Roman" w:cs="Arial Narrow"/>
      <w:b/>
      <w:caps/>
      <w:color w:val="auto"/>
      <w:sz w:val="22"/>
      <w:szCs w:val="20"/>
      <w:lang w:val="en-US" w:bidi="ar-SA" w:eastAsia="zh-CN"/>
    </w:rPr>
  </w:style>
  <w:style w:type="paragraph" w:styleId="DataBox">
    <w:name w:val="DataBox"/>
    <w:basedOn w:val="Normal"/>
    <w:qFormat/>
    <w:pPr>
      <w:tabs>
        <w:tab w:val="clear" w:pos="720"/>
        <w:tab w:val="decimal" w:pos="360" w:leader="none"/>
      </w:tabs>
      <w:spacing w:lineRule="exact" w:line="240" w:before="0" w:after="0"/>
      <w:jc w:val="start"/>
    </w:pPr>
    <w:rPr>
      <w:rFonts w:ascii="Arial Narrow" w:hAnsi="Arial Narrow" w:cs="Arial Narrow"/>
    </w:rPr>
  </w:style>
  <w:style w:type="paragraph" w:styleId="DataBoxTitle">
    <w:name w:val="DataBoxTitle"/>
    <w:basedOn w:val="DataBox"/>
    <w:qFormat/>
    <w:pPr>
      <w:tabs>
        <w:tab w:val="clear" w:pos="360"/>
        <w:tab w:val="right" w:pos="1080" w:leader="none"/>
      </w:tabs>
      <w:spacing w:lineRule="exact" w:line="180"/>
      <w:jc w:val="end"/>
    </w:pPr>
    <w:rPr>
      <w:b/>
      <w:sz w:val="18"/>
    </w:rPr>
  </w:style>
  <w:style w:type="paragraph" w:styleId="Summary">
    <w:name w:val="Summary"/>
    <w:qFormat/>
    <w:pPr>
      <w:widowControl/>
      <w:numPr>
        <w:ilvl w:val="0"/>
        <w:numId w:val="2"/>
      </w:numPr>
      <w:bidi w:val="0"/>
      <w:spacing w:before="60" w:after="60"/>
      <w:ind w:hanging="360" w:start="461" w:end="-14"/>
    </w:pPr>
    <w:rPr>
      <w:rFonts w:ascii="Arial" w:hAnsi="Arial" w:eastAsia="Times New Roman" w:cs="Arial"/>
      <w:color w:val="auto"/>
      <w:sz w:val="22"/>
      <w:szCs w:val="20"/>
      <w:lang w:val="en-US" w:bidi="ar-SA" w:eastAsia="zh-CN"/>
    </w:rPr>
  </w:style>
  <w:style w:type="paragraph" w:styleId="TableFooter">
    <w:name w:val="TableFooter"/>
    <w:basedOn w:val="Normal"/>
    <w:qFormat/>
    <w:pPr>
      <w:spacing w:lineRule="atLeast" w:line="220" w:before="0" w:after="0"/>
      <w:jc w:val="start"/>
    </w:pPr>
    <w:rPr>
      <w:rFonts w:ascii="Arial Narrow" w:hAnsi="Arial Narrow" w:cs="Arial Narrow"/>
      <w:sz w:val="16"/>
    </w:rPr>
  </w:style>
  <w:style w:type="paragraph" w:styleId="Head2">
    <w:name w:val="Head2"/>
    <w:basedOn w:val="Normal"/>
    <w:next w:val="Text"/>
    <w:qFormat/>
    <w:pPr>
      <w:keepNext w:val="true"/>
      <w:jc w:val="start"/>
    </w:pPr>
    <w:rPr>
      <w:b/>
      <w:sz w:val="22"/>
    </w:rPr>
  </w:style>
  <w:style w:type="paragraph" w:styleId="Industry">
    <w:name w:val="Industry"/>
    <w:basedOn w:val="Normal"/>
    <w:qFormat/>
    <w:pPr>
      <w:tabs>
        <w:tab w:val="clear" w:pos="720"/>
        <w:tab w:val="right" w:pos="9720" w:leader="none"/>
      </w:tabs>
      <w:spacing w:before="120" w:after="0"/>
      <w:ind w:hanging="0" w:start="144" w:end="0"/>
    </w:pPr>
    <w:rPr>
      <w:rFonts w:ascii="Arial Narrow" w:hAnsi="Arial Narrow" w:cs="Arial Narrow"/>
      <w:b/>
      <w:sz w:val="18"/>
    </w:rPr>
  </w:style>
  <w:style w:type="paragraph" w:styleId="Opinion">
    <w:name w:val="Opinion"/>
    <w:next w:val="Stamp1"/>
    <w:qFormat/>
    <w:pPr>
      <w:widowControl/>
      <w:bidi w:val="0"/>
      <w:spacing w:before="156" w:after="0"/>
      <w:ind w:hanging="0" w:start="72" w:end="-115"/>
    </w:pPr>
    <w:rPr>
      <w:rFonts w:ascii="Arial Narrow" w:hAnsi="Arial Narrow" w:eastAsia="Times New Roman" w:cs="Arial Narrow"/>
      <w:b/>
      <w:caps/>
      <w:color w:val="auto"/>
      <w:sz w:val="22"/>
      <w:szCs w:val="20"/>
      <w:lang w:val="en-US" w:bidi="ar-SA" w:eastAsia="zh-CN"/>
    </w:rPr>
  </w:style>
  <w:style w:type="paragraph" w:styleId="Stamp1">
    <w:name w:val="Stamp1"/>
    <w:basedOn w:val="Opinion"/>
    <w:next w:val="Stamp2"/>
    <w:qFormat/>
    <w:pPr/>
    <w:rPr/>
  </w:style>
  <w:style w:type="paragraph" w:styleId="Stamp2">
    <w:name w:val="Stamp2"/>
    <w:basedOn w:val="Opinion"/>
    <w:next w:val="Stamp3"/>
    <w:qFormat/>
    <w:pPr/>
    <w:rPr/>
  </w:style>
  <w:style w:type="paragraph" w:styleId="Stamp3">
    <w:name w:val="Stamp3"/>
    <w:basedOn w:val="Opinion"/>
    <w:qFormat/>
    <w:pPr/>
    <w:rPr/>
  </w:style>
  <w:style w:type="paragraph" w:styleId="NB">
    <w:name w:val="NB"/>
    <w:qFormat/>
    <w:pPr>
      <w:widowControl/>
      <w:pBdr>
        <w:top w:val="single" w:sz="6" w:space="1" w:color="000000"/>
      </w:pBdr>
      <w:bidi w:val="0"/>
      <w:spacing w:before="0" w:after="120"/>
    </w:pPr>
    <w:rPr>
      <w:rFonts w:ascii="Arial Narrow" w:hAnsi="Arial Narrow" w:eastAsia="Times New Roman" w:cs="Arial Narrow"/>
      <w:color w:val="auto"/>
      <w:sz w:val="16"/>
      <w:szCs w:val="20"/>
      <w:lang w:val="en-US" w:bidi="ar-SA" w:eastAsia="zh-CN"/>
    </w:rPr>
  </w:style>
  <w:style w:type="paragraph" w:styleId="FootnoteText">
    <w:name w:val="footnote text"/>
    <w:basedOn w:val="NB"/>
    <w:pPr/>
    <w:rPr/>
  </w:style>
  <w:style w:type="paragraph" w:styleId="HeadTitle">
    <w:name w:val="HeadTitle"/>
    <w:qFormat/>
    <w:pPr>
      <w:widowControl/>
      <w:bidi w:val="0"/>
      <w:spacing w:before="0" w:after="120"/>
      <w:ind w:hanging="0" w:start="86" w:end="-115"/>
    </w:pPr>
    <w:rPr>
      <w:rFonts w:ascii="Arial" w:hAnsi="Arial" w:eastAsia="Times New Roman" w:cs="Arial"/>
      <w:b/>
      <w:color w:val="auto"/>
      <w:sz w:val="40"/>
      <w:szCs w:val="20"/>
      <w:lang w:val="en-US" w:bidi="ar-SA" w:eastAsia="zh-CN"/>
    </w:rPr>
  </w:style>
  <w:style w:type="paragraph" w:styleId="NewCompany">
    <w:name w:val="NewCompany"/>
    <w:basedOn w:val="HeadTitle"/>
    <w:qFormat/>
    <w:pPr/>
    <w:rPr/>
  </w:style>
  <w:style w:type="paragraph" w:styleId="NewTick">
    <w:name w:val="NewTick"/>
    <w:basedOn w:val="Normal"/>
    <w:qFormat/>
    <w:pPr>
      <w:keepNext w:val="true"/>
      <w:keepLines/>
      <w:ind w:hanging="0" w:start="0" w:end="58"/>
      <w:jc w:val="end"/>
    </w:pPr>
    <w:rPr>
      <w:rFonts w:ascii="Arial Narrow" w:hAnsi="Arial Narrow" w:cs="Arial Narrow"/>
      <w:b/>
      <w:smallCaps/>
      <w:sz w:val="32"/>
    </w:rPr>
  </w:style>
  <w:style w:type="paragraph" w:styleId="NewAnalystName">
    <w:name w:val="NewAnalystName"/>
    <w:basedOn w:val="Normal"/>
    <w:qFormat/>
    <w:pPr>
      <w:keepNext w:val="true"/>
      <w:keepLines/>
      <w:spacing w:before="0" w:after="0"/>
      <w:jc w:val="start"/>
    </w:pPr>
    <w:rPr>
      <w:sz w:val="28"/>
    </w:rPr>
  </w:style>
  <w:style w:type="paragraph" w:styleId="NewIndustry">
    <w:name w:val="NewIndustry"/>
    <w:basedOn w:val="NewAnalystName"/>
    <w:qFormat/>
    <w:pPr>
      <w:jc w:val="end"/>
    </w:pPr>
    <w:rPr>
      <w:b/>
    </w:rPr>
  </w:style>
  <w:style w:type="paragraph" w:styleId="Phone">
    <w:name w:val="Phone"/>
    <w:qFormat/>
    <w:pPr>
      <w:widowControl/>
      <w:bidi w:val="0"/>
      <w:ind w:hanging="0" w:start="86" w:end="0"/>
    </w:pPr>
    <w:rPr>
      <w:rFonts w:ascii="Arial" w:hAnsi="Arial" w:eastAsia="Times New Roman" w:cs="Arial"/>
      <w:color w:val="auto"/>
      <w:sz w:val="16"/>
      <w:szCs w:val="20"/>
      <w:lang w:val="en-US" w:bidi="ar-SA" w:eastAsia="zh-CN"/>
    </w:rPr>
  </w:style>
  <w:style w:type="paragraph" w:styleId="HangingText">
    <w:name w:val="HangingText"/>
    <w:basedOn w:val="Normal"/>
    <w:qFormat/>
    <w:pPr>
      <w:keepNext w:val="true"/>
      <w:spacing w:before="10" w:after="120"/>
      <w:jc w:val="start"/>
    </w:pPr>
    <w:rPr>
      <w:rFonts w:ascii="Arial Narrow" w:hAnsi="Arial Narrow" w:cs="Arial Narrow"/>
      <w:b/>
    </w:rPr>
  </w:style>
  <w:style w:type="paragraph" w:styleId="Subtitle">
    <w:name w:val="Subtitle"/>
    <w:next w:val="BodyText"/>
    <w:qFormat/>
    <w:pPr>
      <w:widowControl/>
      <w:bidi w:val="0"/>
      <w:spacing w:before="0" w:after="480"/>
      <w:ind w:hanging="0" w:start="130" w:end="-115"/>
    </w:pPr>
    <w:rPr>
      <w:rFonts w:ascii="Arial" w:hAnsi="Arial" w:eastAsia="Times New Roman" w:cs="Arial"/>
      <w:color w:val="auto"/>
      <w:sz w:val="24"/>
      <w:szCs w:val="20"/>
      <w:lang w:val="en-US" w:bidi="ar-SA" w:eastAsia="zh-CN"/>
    </w:rPr>
  </w:style>
  <w:style w:type="paragraph" w:styleId="IndustryDate">
    <w:name w:val="IndustryDate"/>
    <w:basedOn w:val="Industry"/>
    <w:qFormat/>
    <w:pPr>
      <w:tabs>
        <w:tab w:val="left" w:pos="2367" w:leader="none"/>
        <w:tab w:val="right" w:pos="9720" w:leader="none"/>
      </w:tabs>
      <w:ind w:hanging="0" w:start="0" w:end="0"/>
      <w:jc w:val="end"/>
    </w:pPr>
    <w:rPr/>
  </w:style>
  <w:style w:type="paragraph" w:styleId="CompanyDesc">
    <w:name w:val="CompanyDesc"/>
    <w:qFormat/>
    <w:pPr>
      <w:keepLines/>
      <w:widowControl/>
      <w:bidi w:val="0"/>
      <w:spacing w:lineRule="exact" w:line="240" w:before="60" w:after="60"/>
      <w:ind w:hanging="0" w:start="29" w:end="0"/>
    </w:pPr>
    <w:rPr>
      <w:rFonts w:ascii="Arial Narrow" w:hAnsi="Arial Narrow" w:eastAsia="Times New Roman" w:cs="Arial Narrow"/>
      <w:b/>
      <w:color w:val="auto"/>
      <w:sz w:val="22"/>
      <w:szCs w:val="20"/>
      <w:lang w:val="en-US" w:bidi="ar-SA" w:eastAsia="zh-CN"/>
    </w:rPr>
  </w:style>
  <w:style w:type="paragraph" w:styleId="Email">
    <w:name w:val="Email"/>
    <w:qFormat/>
    <w:pPr>
      <w:widowControl/>
      <w:bidi w:val="0"/>
      <w:spacing w:before="0" w:after="120"/>
      <w:ind w:hanging="0" w:start="86" w:end="0"/>
    </w:pPr>
    <w:rPr>
      <w:rFonts w:ascii="Arial" w:hAnsi="Arial" w:eastAsia="Times New Roman" w:cs="Arial"/>
      <w:color w:val="auto"/>
      <w:sz w:val="16"/>
      <w:szCs w:val="20"/>
      <w:lang w:val="en-US" w:bidi="ar-SA" w:eastAsia="zh-CN"/>
    </w:rPr>
  </w:style>
  <w:style w:type="paragraph" w:styleId="Name">
    <w:name w:val="Name"/>
    <w:qFormat/>
    <w:pPr>
      <w:keepNext w:val="true"/>
      <w:widowControl/>
      <w:bidi w:val="0"/>
      <w:spacing w:before="60" w:after="0"/>
      <w:ind w:hanging="0" w:start="86" w:end="0"/>
    </w:pPr>
    <w:rPr>
      <w:rFonts w:ascii="Arial" w:hAnsi="Arial" w:eastAsia="Times New Roman" w:cs="Arial"/>
      <w:b/>
      <w:color w:val="auto"/>
      <w:sz w:val="16"/>
      <w:szCs w:val="20"/>
      <w:lang w:val="en-US" w:bidi="ar-SA" w:eastAsia="zh-CN"/>
    </w:rPr>
  </w:style>
  <w:style w:type="paragraph" w:styleId="DeskNoteBar">
    <w:name w:val="DeskNoteBar"/>
    <w:qFormat/>
    <w:pPr>
      <w:widowControl/>
      <w:shd w:fill="FF0000" w:val="clear"/>
      <w:tabs>
        <w:tab w:val="clear" w:pos="720"/>
        <w:tab w:val="center" w:pos="4320" w:leader="none"/>
        <w:tab w:val="right" w:pos="8640" w:leader="none"/>
      </w:tabs>
      <w:bidi w:val="0"/>
      <w:spacing w:before="0" w:after="120"/>
      <w:ind w:hanging="0" w:start="720" w:end="3240"/>
      <w:jc w:val="center"/>
    </w:pPr>
    <w:rPr>
      <w:rFonts w:ascii="Arial" w:hAnsi="Arial" w:eastAsia="Times New Roman" w:cs="Arial"/>
      <w:b/>
      <w:caps/>
      <w:color w:val="FFFFFF"/>
      <w:sz w:val="32"/>
      <w:szCs w:val="20"/>
      <w:lang w:val="en-US" w:bidi="ar-SA" w:eastAsia="zh-CN"/>
    </w:rPr>
  </w:style>
  <w:style w:type="paragraph" w:styleId="Reut">
    <w:name w:val="Reut"/>
    <w:basedOn w:val="Tick"/>
    <w:qFormat/>
    <w:pPr/>
    <w:rPr/>
  </w:style>
  <w:style w:type="paragraph" w:styleId="Other">
    <w:name w:val="Other"/>
    <w:basedOn w:val="Tick"/>
    <w:qFormat/>
    <w:pPr/>
    <w:rPr/>
  </w:style>
  <w:style w:type="paragraph" w:styleId="headerfield">
    <w:name w:val="headerfield"/>
    <w:qFormat/>
    <w:pPr>
      <w:keepNext w:val="true"/>
      <w:widowControl/>
      <w:pBdr>
        <w:bottom w:val="single" w:sz="6" w:space="6" w:color="000000"/>
      </w:pBdr>
      <w:tabs>
        <w:tab w:val="clear" w:pos="720"/>
        <w:tab w:val="left" w:pos="4680" w:leader="none"/>
      </w:tabs>
      <w:bidi w:val="0"/>
      <w:spacing w:before="60" w:after="0"/>
      <w:ind w:hanging="0" w:start="-2390" w:end="-43"/>
    </w:pPr>
    <w:rPr>
      <w:rFonts w:ascii="Arial" w:hAnsi="Arial" w:eastAsia="Times New Roman" w:cs="Arial"/>
      <w:color w:val="auto"/>
      <w:sz w:val="24"/>
      <w:szCs w:val="20"/>
      <w:lang w:val="en-US" w:bidi="ar-SA" w:eastAsia="zh-CN"/>
    </w:rPr>
  </w:style>
  <w:style w:type="paragraph" w:styleId="Head3">
    <w:name w:val="Head3"/>
    <w:basedOn w:val="Head2"/>
    <w:next w:val="Text"/>
    <w:qFormat/>
    <w:pPr>
      <w:spacing w:before="0" w:after="0"/>
    </w:pPr>
    <w:rPr/>
  </w:style>
  <w:style w:type="paragraph" w:styleId="NewIndustryName">
    <w:name w:val="NewIndustryName"/>
    <w:basedOn w:val="NewIndustry"/>
    <w:qFormat/>
    <w:pPr>
      <w:keepLines w:val="false"/>
      <w:spacing w:before="0" w:after="120"/>
      <w:ind w:hanging="0" w:start="43" w:end="0"/>
      <w:jc w:val="start"/>
    </w:pPr>
    <w:rPr>
      <w:b w:val="false"/>
      <w:sz w:val="16"/>
    </w:rPr>
  </w:style>
  <w:style w:type="paragraph" w:styleId="PlaceHolder">
    <w:name w:val="PlaceHolder"/>
    <w:qFormat/>
    <w:pPr>
      <w:widowControl/>
      <w:bidi w:val="0"/>
      <w:jc w:val="center"/>
    </w:pPr>
    <w:rPr>
      <w:rFonts w:ascii="Arial" w:hAnsi="Arial" w:eastAsia="Times New Roman" w:cs="Arial"/>
      <w:b/>
      <w:caps/>
      <w:vanish/>
      <w:color w:val="FF0000"/>
      <w:sz w:val="16"/>
      <w:szCs w:val="20"/>
      <w:lang w:val="en-US" w:bidi="ar-SA" w:eastAsia="zh-CN"/>
    </w:rPr>
  </w:style>
  <w:style w:type="paragraph" w:styleId="TOC1">
    <w:name w:val="TOC1"/>
    <w:basedOn w:val="Normal"/>
    <w:next w:val="TOC2"/>
    <w:qFormat/>
    <w:pPr>
      <w:keepNext w:val="true"/>
      <w:pBdr>
        <w:bottom w:val="single" w:sz="4" w:space="1" w:color="000000"/>
      </w:pBdr>
      <w:tabs>
        <w:tab w:val="clear" w:pos="720"/>
        <w:tab w:val="right" w:pos="7200" w:leader="none"/>
      </w:tabs>
      <w:suppressAutoHyphens w:val="true"/>
      <w:spacing w:lineRule="exact" w:line="280" w:before="0" w:after="0"/>
      <w:jc w:val="start"/>
    </w:pPr>
    <w:rPr>
      <w:b/>
      <w:sz w:val="22"/>
    </w:rPr>
  </w:style>
  <w:style w:type="paragraph" w:styleId="TOC2">
    <w:name w:val="TOC2"/>
    <w:basedOn w:val="TOC1"/>
    <w:qFormat/>
    <w:pPr>
      <w:keepNext w:val="false"/>
      <w:keepLines/>
      <w:pBdr>
        <w:bottom w:val="single" w:sz="6" w:space="3" w:color="000000"/>
      </w:pBdr>
      <w:ind w:firstLine="202" w:start="0" w:end="0"/>
    </w:pPr>
    <w:rPr>
      <w:b w:val="false"/>
    </w:rPr>
  </w:style>
  <w:style w:type="paragraph" w:styleId="SPC">
    <w:name w:val="SPC"/>
    <w:basedOn w:val="Normal"/>
    <w:qFormat/>
    <w:pPr>
      <w:pBdr>
        <w:bottom w:val="single" w:sz="6" w:space="1" w:color="000000"/>
      </w:pBdr>
      <w:tabs>
        <w:tab w:val="clear" w:pos="720"/>
        <w:tab w:val="right" w:pos="1080" w:leader="none"/>
      </w:tabs>
      <w:spacing w:before="300" w:after="360"/>
      <w:ind w:hanging="72" w:start="72" w:end="-144"/>
      <w:jc w:val="start"/>
    </w:pPr>
    <w:rPr>
      <w:rFonts w:ascii="Arial Narrow" w:hAnsi="Arial Narrow" w:cs="Arial Narrow"/>
      <w:b/>
      <w:sz w:val="22"/>
    </w:rPr>
  </w:style>
  <w:style w:type="paragraph" w:styleId="GraphicTitle">
    <w:name w:val="GraphicTitle"/>
    <w:qFormat/>
    <w:pPr>
      <w:widowControl/>
      <w:bidi w:val="0"/>
      <w:spacing w:before="60" w:after="60"/>
      <w:ind w:hanging="0" w:start="-115" w:end="-115"/>
      <w:jc w:val="center"/>
    </w:pPr>
    <w:rPr>
      <w:rFonts w:ascii="Arial" w:hAnsi="Arial" w:eastAsia="Times New Roman" w:cs="Arial"/>
      <w:b/>
      <w:i/>
      <w:color w:val="auto"/>
      <w:sz w:val="16"/>
      <w:szCs w:val="20"/>
      <w:lang w:val="en-US" w:bidi="ar-SA" w:eastAsia="zh-CN"/>
    </w:rPr>
  </w:style>
  <w:style w:type="paragraph" w:styleId="TableOfContents">
    <w:name w:val="TableOfContents"/>
    <w:basedOn w:val="Normal"/>
    <w:qFormat/>
    <w:pPr>
      <w:keepNext w:val="true"/>
      <w:pageBreakBefore/>
      <w:pBdr>
        <w:bottom w:val="single" w:sz="4" w:space="1" w:color="000000"/>
      </w:pBdr>
      <w:spacing w:before="0" w:after="240"/>
      <w:jc w:val="start"/>
    </w:pPr>
    <w:rPr>
      <w:b/>
      <w:sz w:val="24"/>
    </w:rPr>
  </w:style>
  <w:style w:type="paragraph" w:styleId="Picture">
    <w:name w:val="Picture"/>
    <w:qFormat/>
    <w:pPr>
      <w:widowControl/>
      <w:bidi w:val="0"/>
      <w:spacing w:before="60" w:after="120"/>
    </w:pPr>
    <w:rPr>
      <w:rFonts w:ascii="Arial" w:hAnsi="Arial" w:eastAsia="Times New Roman" w:cs="Arial"/>
      <w:color w:val="auto"/>
      <w:sz w:val="20"/>
      <w:szCs w:val="20"/>
      <w:lang w:val="en-US" w:bidi="ar-SA" w:eastAsia="zh-CN"/>
    </w:rPr>
  </w:style>
  <w:style w:type="paragraph" w:styleId="Price">
    <w:name w:val="Price"/>
    <w:basedOn w:val="Opinion"/>
    <w:qFormat/>
    <w:pPr>
      <w:spacing w:before="0" w:after="0"/>
      <w:ind w:hanging="0" w:start="43" w:end="-115"/>
    </w:pPr>
    <w:rPr/>
  </w:style>
  <w:style w:type="paragraph" w:styleId="InsertTOC">
    <w:name w:val="InsertTOC"/>
    <w:qFormat/>
    <w:pPr>
      <w:widowControl/>
      <w:bidi w:val="0"/>
    </w:pPr>
    <w:rPr>
      <w:rFonts w:ascii="Arial" w:hAnsi="Arial" w:eastAsia="Times New Roman" w:cs="Arial"/>
      <w:b/>
      <w:caps/>
      <w:vanish/>
      <w:color w:val="FF0000"/>
      <w:sz w:val="18"/>
      <w:szCs w:val="20"/>
      <w:lang w:val="en-US" w:bidi="ar-SA" w:eastAsia="zh-CN"/>
    </w:rPr>
  </w:style>
  <w:style w:type="paragraph" w:styleId="GraphicSource">
    <w:name w:val="GraphicSource"/>
    <w:basedOn w:val="GraphicTitle"/>
    <w:qFormat/>
    <w:pPr>
      <w:spacing w:before="60" w:after="0"/>
      <w:ind w:hanging="0" w:start="0" w:end="-115"/>
      <w:jc w:val="start"/>
    </w:pPr>
    <w:rPr>
      <w:b w:val="false"/>
      <w:i w:val="false"/>
    </w:rPr>
  </w:style>
  <w:style w:type="paragraph" w:styleId="HeaderPortrait">
    <w:name w:val="HeaderPortrait"/>
    <w:basedOn w:val="HeaderMain"/>
    <w:qFormat/>
    <w:pPr>
      <w:tabs>
        <w:tab w:val="clear" w:pos="7200"/>
        <w:tab w:val="right" w:pos="9446" w:leader="none"/>
      </w:tabs>
      <w:ind w:hanging="0" w:start="0" w:end="-43"/>
    </w:pPr>
    <w:rPr/>
  </w:style>
  <w:style w:type="paragraph" w:styleId="HeaderTitleEvenPg">
    <w:name w:val="Header Title Even Pg"/>
    <w:basedOn w:val="HeaderMain"/>
    <w:qFormat/>
    <w:pPr>
      <w:spacing w:before="60" w:after="120"/>
      <w:jc w:val="end"/>
    </w:pPr>
    <w:rPr/>
  </w:style>
  <w:style w:type="paragraph" w:styleId="HeaderTitleOddPg">
    <w:name w:val="Header Title OddPg"/>
    <w:basedOn w:val="HeaderTitleEvenPg"/>
    <w:qFormat/>
    <w:pPr>
      <w:jc w:val="start"/>
    </w:pPr>
    <w:rPr/>
  </w:style>
  <w:style w:type="paragraph" w:styleId="Top">
    <w:name w:val="Top"/>
    <w:basedOn w:val="Normal"/>
    <w:qFormat/>
    <w:pPr>
      <w:pBdr>
        <w:top w:val="single" w:sz="6" w:space="1" w:color="000000"/>
      </w:pBdr>
      <w:spacing w:before="0" w:after="0"/>
      <w:jc w:val="start"/>
    </w:pPr>
    <w:rPr>
      <w:caps/>
      <w:sz w:val="16"/>
    </w:rPr>
  </w:style>
  <w:style w:type="paragraph" w:styleId="Region">
    <w:name w:val="Region"/>
    <w:qFormat/>
    <w:pPr>
      <w:widowControl/>
      <w:tabs>
        <w:tab w:val="clear" w:pos="720"/>
        <w:tab w:val="left" w:pos="2367" w:leader="none"/>
      </w:tabs>
      <w:bidi w:val="0"/>
      <w:spacing w:before="120" w:after="0"/>
      <w:ind w:hanging="0" w:start="86" w:end="0"/>
    </w:pPr>
    <w:rPr>
      <w:rFonts w:ascii="Arial Narrow" w:hAnsi="Arial Narrow" w:eastAsia="Times New Roman" w:cs="Arial Narrow"/>
      <w:b/>
      <w:color w:val="auto"/>
      <w:sz w:val="18"/>
      <w:szCs w:val="20"/>
      <w:lang w:val="en-US" w:bidi="ar-SA" w:eastAsia="zh-CN"/>
    </w:rPr>
  </w:style>
  <w:style w:type="paragraph" w:styleId="BranchList">
    <w:name w:val="BranchList"/>
    <w:basedOn w:val="Text"/>
    <w:qFormat/>
    <w:pPr/>
    <w:rPr/>
  </w:style>
  <w:style w:type="paragraph" w:styleId="BlankPage">
    <w:name w:val="BlankPage"/>
    <w:basedOn w:val="Text"/>
    <w:qFormat/>
    <w:pPr/>
    <w:rPr>
      <w:rFonts w:ascii="Palatino" w:hAnsi="Palatino" w:cs="Palatino"/>
      <w:b/>
      <w:vanish/>
      <w:color w:val="FF0000"/>
      <w:sz w:val="28"/>
    </w:rPr>
  </w:style>
  <w:style w:type="paragraph" w:styleId="FooterMain">
    <w:name w:val="FooterMain"/>
    <w:qFormat/>
    <w:pPr>
      <w:widowControl/>
      <w:pBdr>
        <w:top w:val="single" w:sz="4" w:space="1" w:color="000000"/>
      </w:pBdr>
      <w:bidi w:val="0"/>
      <w:ind w:hanging="0" w:start="-2390" w:end="0"/>
      <w:jc w:val="center"/>
    </w:pPr>
    <w:rPr>
      <w:rFonts w:ascii="Arial" w:hAnsi="Arial" w:eastAsia="Times New Roman" w:cs="Arial"/>
      <w:color w:val="auto"/>
      <w:sz w:val="20"/>
      <w:szCs w:val="20"/>
      <w:lang w:val="en-US" w:bidi="ar-SA" w:eastAsia="zh-CN"/>
    </w:rPr>
  </w:style>
  <w:style w:type="paragraph" w:styleId="officename">
    <w:name w:val="officename"/>
    <w:basedOn w:val="Office"/>
    <w:qFormat/>
    <w:pPr>
      <w:pBdr>
        <w:right w:val="single" w:sz="12" w:space="4" w:color="000000"/>
      </w:pBdr>
      <w:tabs>
        <w:tab w:val="clear" w:pos="4320"/>
        <w:tab w:val="right" w:pos="2700" w:leader="dot"/>
        <w:tab w:val="left" w:pos="5760" w:leader="none"/>
        <w:tab w:val="right" w:pos="9450" w:leader="none"/>
      </w:tabs>
      <w:spacing w:before="0" w:after="60"/>
    </w:pPr>
    <w:rPr>
      <w:rFonts w:ascii="Arial Narrow" w:hAnsi="Arial Narrow" w:cs="Arial Narrow"/>
      <w:b/>
    </w:rPr>
  </w:style>
  <w:style w:type="paragraph" w:styleId="FooterPortrait">
    <w:name w:val="FooterPortrait"/>
    <w:basedOn w:val="FooterMain"/>
    <w:qFormat/>
    <w:pPr>
      <w:ind w:hanging="0" w:start="0" w:end="0"/>
    </w:pPr>
    <w:rPr/>
  </w:style>
  <w:style w:type="paragraph" w:styleId="HeaderLandscape">
    <w:name w:val="HeaderLandscape"/>
    <w:basedOn w:val="HeaderPortrait"/>
    <w:qFormat/>
    <w:pPr>
      <w:tabs>
        <w:tab w:val="clear" w:pos="9446"/>
        <w:tab w:val="right" w:pos="13234" w:leader="none"/>
      </w:tabs>
    </w:pPr>
    <w:rPr/>
  </w:style>
  <w:style w:type="paragraph" w:styleId="MarkTable">
    <w:name w:val="MarkTable"/>
    <w:basedOn w:val="TableColHead"/>
    <w:qFormat/>
    <w:pPr/>
    <w:rPr/>
  </w:style>
  <w:style w:type="paragraph" w:styleId="BottomBar">
    <w:name w:val="Bottom Bar"/>
    <w:basedOn w:val="Normal"/>
    <w:qFormat/>
    <w:pPr>
      <w:pBdr>
        <w:bottom w:val="single" w:sz="36" w:space="0" w:color="00FFFF"/>
      </w:pBdr>
      <w:spacing w:before="0" w:after="0"/>
      <w:jc w:val="center"/>
    </w:pPr>
    <w:rPr/>
  </w:style>
  <w:style w:type="paragraph" w:styleId="SymbolBox">
    <w:name w:val="SymbolBox"/>
    <w:basedOn w:val="Normal"/>
    <w:qFormat/>
    <w:pPr>
      <w:spacing w:before="0" w:after="0"/>
      <w:jc w:val="center"/>
    </w:pPr>
    <w:rPr>
      <w:sz w:val="8"/>
    </w:rPr>
  </w:style>
  <w:style w:type="paragraph" w:styleId="CompanyInfo">
    <w:name w:val="CompanyInfo"/>
    <w:basedOn w:val="DataBoxTitle"/>
    <w:qFormat/>
    <w:pPr>
      <w:pBdr>
        <w:bottom w:val="single" w:sz="12" w:space="6" w:color="000000"/>
      </w:pBdr>
      <w:spacing w:lineRule="auto" w:line="240" w:before="60" w:after="360"/>
      <w:ind w:hanging="72" w:start="72" w:end="-151"/>
      <w:jc w:val="start"/>
    </w:pPr>
    <w:rPr>
      <w:sz w:val="22"/>
    </w:rPr>
  </w:style>
  <w:style w:type="paragraph" w:styleId="Body">
    <w:name w:val="Body"/>
    <w:basedOn w:val="Normal"/>
    <w:qFormat/>
    <w:pPr>
      <w:spacing w:before="0" w:after="0"/>
    </w:pPr>
    <w:rPr>
      <w:kern w:val="2"/>
      <w:sz w:val="14"/>
      <w:lang w:val="en-G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image" Target="media/image3.wmf"/><Relationship Id="rId8" Type="http://schemas.openxmlformats.org/officeDocument/2006/relationships/image" Target="media/image4.wmf"/><Relationship Id="rId9" Type="http://schemas.openxmlformats.org/officeDocument/2006/relationships/image" Target="media/image5.wmf"/><Relationship Id="rId10" Type="http://schemas.openxmlformats.org/officeDocument/2006/relationships/image" Target="media/image6.wmf"/><Relationship Id="rId11" Type="http://schemas.openxmlformats.org/officeDocument/2006/relationships/image" Target="media/image7.wmf"/><Relationship Id="rId12" Type="http://schemas.openxmlformats.org/officeDocument/2006/relationships/image" Target="media/image8.wmf"/><Relationship Id="rId13" Type="http://schemas.openxmlformats.org/officeDocument/2006/relationships/image" Target="media/image9.wmf"/><Relationship Id="rId14" Type="http://schemas.openxmlformats.org/officeDocument/2006/relationships/image" Target="media/image10.wmf"/><Relationship Id="rId15" Type="http://schemas.openxmlformats.org/officeDocument/2006/relationships/image" Target="media/image11.wmf"/><Relationship Id="rId16" Type="http://schemas.openxmlformats.org/officeDocument/2006/relationships/image" Target="media/image12.wmf"/><Relationship Id="rId17" Type="http://schemas.openxmlformats.org/officeDocument/2006/relationships/header" Target="header3.xml"/><Relationship Id="rId18" Type="http://schemas.openxmlformats.org/officeDocument/2006/relationships/header" Target="header4.xml"/><Relationship Id="rId19" Type="http://schemas.openxmlformats.org/officeDocument/2006/relationships/footer" Target="footer3.xml"/><Relationship Id="rId20" Type="http://schemas.openxmlformats.org/officeDocument/2006/relationships/footer" Target="footer4.xml"/><Relationship Id="rId21" Type="http://schemas.openxmlformats.org/officeDocument/2006/relationships/header" Target="header5.xml"/><Relationship Id="rId22" Type="http://schemas.openxmlformats.org/officeDocument/2006/relationships/header" Target="header6.xml"/><Relationship Id="rId23" Type="http://schemas.openxmlformats.org/officeDocument/2006/relationships/footer" Target="footer5.xml"/><Relationship Id="rId24" Type="http://schemas.openxmlformats.org/officeDocument/2006/relationships/footer" Target="footer6.xml"/><Relationship Id="rId25" Type="http://schemas.openxmlformats.org/officeDocument/2006/relationships/numbering" Target="numbering.xml"/><Relationship Id="rId26" Type="http://schemas.openxmlformats.org/officeDocument/2006/relationships/fontTable" Target="fontTable.xml"/><Relationship Id="rId27" Type="http://schemas.openxmlformats.org/officeDocument/2006/relationships/settings" Target="settings.xml"/><Relationship Id="rId2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wmf"/>
</Relationships>
</file>

<file path=word/_rels/header3.xml.rels><?xml version="1.0" encoding="UTF-8"?>
<Relationships xmlns="http://schemas.openxmlformats.org/package/2006/relationships"><Relationship Id="rId1" Type="http://schemas.openxmlformats.org/officeDocument/2006/relationships/image" Target="media/image2.wmf"/>
</Relationships>
</file>

<file path=word/_rels/header5.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Self99</Template>
  <TotalTime>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2001-06-01T18:01:00Z</dcterms:created>
  <dc:creator>Elizabeth Lawler</dc:creator>
  <dc:description/>
  <dc:language>en-CA</dc:language>
  <cp:lastModifiedBy>Elizabeth Lawler</cp:lastModifiedBy>
  <cp:lastPrinted>2001-06-01T16:48:00Z</cp:lastPrinted>
  <dcterms:modified xsi:type="dcterms:W3CDTF">2001-06-04T08:32:00Z</dcterms:modified>
  <cp:revision>6</cp:revision>
  <dc:subject>Research Report</dc:subject>
  <dc:title>Self 1997 Template</dc:title>
</cp:coreProperties>
</file>