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Heading1"/>
        <w:ind w:hanging="0" w:start="0"/>
        <w:jc w:val="center"/>
        <w:rPr/>
      </w:pPr>
      <w:r>
        <w:rPr/>
        <w:t>A Delaware Limited Liability Company</w:t>
      </w:r>
    </w:p>
    <w:p>
      <w:pPr>
        <w:pStyle w:val="Normal"/>
        <w:widowControl/>
        <w:jc w:val="center"/>
        <w:rPr/>
      </w:pPr>
      <w:r>
        <w:rPr/>
      </w:r>
    </w:p>
    <w:p>
      <w:pPr>
        <w:pStyle w:val="Normal"/>
        <w:widowControl/>
        <w:jc w:val="center"/>
        <w:rPr/>
      </w:pPr>
      <w:r>
        <w:rPr/>
      </w:r>
    </w:p>
    <w:p>
      <w:pPr>
        <w:pStyle w:val="Normal"/>
        <w:widowControl/>
        <w:ind w:firstLine="720" w:end="0"/>
        <w:jc w:val="both"/>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Sunlaw Energy Corporation, a corporation organized under the laws of the State of _____________ (“</w:t>
      </w:r>
      <w:r>
        <w:rPr>
          <w:u w:val="single"/>
        </w:rPr>
        <w:t>Sunlaw</w:t>
      </w:r>
      <w:r>
        <w:rPr/>
        <w:t xml:space="preserve">”), and each of which is a Member and together are all of the Members.  </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Sunlaw has become a Member of the Company, and ENA and Sunlaw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Heading2"/>
        <w:ind w:hanging="0" w:start="0"/>
        <w:rPr/>
      </w:pPr>
      <w:r>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Term</w:t>
      </w:r>
      <w:r>
        <w:rPr/>
        <w:t>.  The Company was formed as Newco,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jc w:val="both"/>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jc w:val="both"/>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jc w:val="both"/>
        <w:rPr/>
      </w:pPr>
      <w:r>
        <w:rPr/>
      </w:r>
    </w:p>
    <w:p>
      <w:pPr>
        <w:pStyle w:val="Normal"/>
        <w:widowControl/>
        <w:ind w:firstLine="720" w:end="0"/>
        <w:jc w:val="both"/>
        <w:rPr/>
      </w:pPr>
      <w:r>
        <w:rPr/>
        <w:t>3.1</w:t>
        <w:tab/>
      </w:r>
      <w:r>
        <w:rPr>
          <w:u w:val="single"/>
        </w:rPr>
        <w:t>Representations and Warranties of ENA</w:t>
      </w:r>
      <w:r>
        <w:rPr/>
        <w:t>.  In order to induce Sunlaw to enter into this Agreement, ENA represents, warrants, covenants and agrees with Sunlaw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four LM6000 enhanced SPRINT dual-fuel combustion turbine generator sets (the “</w:t>
      </w:r>
      <w:r>
        <w:rPr>
          <w:u w:val="single"/>
        </w:rPr>
        <w:t>GE Equipment</w:t>
      </w:r>
      <w:r>
        <w:rPr/>
        <w:t>”) from GE.</w:t>
      </w:r>
    </w:p>
    <w:p>
      <w:pPr>
        <w:pStyle w:val="Normal"/>
        <w:widowControl/>
        <w:jc w:val="both"/>
        <w:rPr/>
      </w:pPr>
      <w:r>
        <w:rPr/>
      </w:r>
    </w:p>
    <w:p>
      <w:pPr>
        <w:pStyle w:val="Normal"/>
        <w:widowControl/>
        <w:ind w:firstLine="720" w:end="0"/>
        <w:jc w:val="both"/>
        <w:rPr/>
      </w:pPr>
      <w:r>
        <w:rPr/>
        <w:t>3.2</w:t>
        <w:tab/>
      </w:r>
      <w:r>
        <w:rPr>
          <w:u w:val="single"/>
        </w:rPr>
        <w:t>Representations and Warranties of Sunlaw</w:t>
      </w:r>
      <w:r>
        <w:rPr/>
        <w:t>.  In order to induce ENA to enter into this Agreement, Sunlaw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Sunlaw is a corporation duly organized, validly existing and in good standing under the laws of the State of Delaware.</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Sunlaw has full corporate power and authority to enter into and perform this Agreement.  The Board of Directors of Sunlaw has taken all actions required by law, Sunlaw’s Articles or Certificate of Incorporation, its Bylaws or otherwise to be taken to authorize the execution, delivery and performance of this Agreement by Sunlaw, and this Agreement has been duly executed and delivered by Sunlaw and constitutes the legal, valid and binding agreement of Sunlaw,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Neither the execution, delivery or performance of this Agreement by Sunlaw will violate any provision of the Articles or Certificate of Incorporation or Bylaws of Sunlaw,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Sunlaw under, any agreement or commitment to which Sunlaw is a party or by which Sunlaw is bound, or violate any statute or law or any judgment, decree, order, regulation or rule of any court or governmental authority by which Sunlaw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Sunlaw, including, without limitation, consents from parties to loans, contracts, leases or other agreements, except such as have been obtained.</w:t>
      </w:r>
    </w:p>
    <w:p>
      <w:pPr>
        <w:pStyle w:val="Normal"/>
        <w:widowControl/>
        <w:jc w:val="both"/>
        <w:rPr/>
      </w:pPr>
      <w:r>
        <w:rPr/>
      </w:r>
    </w:p>
    <w:p>
      <w:pPr>
        <w:pStyle w:val="Normal"/>
        <w:widowControl/>
        <w:jc w:val="center"/>
        <w:rPr>
          <w:b/>
        </w:rPr>
      </w:pPr>
      <w:r>
        <w:rPr>
          <w:b/>
        </w:rPr>
        <w:t>SECTION 4</w:t>
      </w:r>
    </w:p>
    <w:p>
      <w:pPr>
        <w:pStyle w:val="Heading2"/>
        <w:ind w:hanging="0" w:start="0"/>
        <w:rPr/>
      </w:pPr>
      <w:r>
        <w:rPr/>
        <w:t>MANAGEMENT AND RELATED MATTERS</w:t>
      </w:r>
    </w:p>
    <w:p>
      <w:pPr>
        <w:pStyle w:val="Normal"/>
        <w:widowControl/>
        <w:jc w:val="both"/>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Sunlaw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jc w:val="both"/>
        <w:rPr/>
      </w:pPr>
      <w:r>
        <w:rPr/>
      </w:r>
    </w:p>
    <w:p>
      <w:pPr>
        <w:pStyle w:val="Normal"/>
        <w:widowControl/>
        <w:ind w:hanging="720" w:start="1440" w:end="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jc w:val="both"/>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jc w:val="both"/>
        <w:rPr/>
      </w:pPr>
      <w:r>
        <w:rPr/>
      </w:r>
    </w:p>
    <w:p>
      <w:pPr>
        <w:pStyle w:val="Normal"/>
        <w:widowControl/>
        <w:ind w:firstLine="1440" w:end="0"/>
        <w:jc w:val="both"/>
        <w:rPr/>
      </w:pPr>
      <w:r>
        <w:rPr/>
        <w:t>(b)</w:t>
        <w:tab/>
        <w:t>The initial Directors designated by Sunlaw are __________________, __________________, and __________________, and the initial Director designated by ENA is __________________.</w:t>
      </w:r>
    </w:p>
    <w:p>
      <w:pPr>
        <w:pStyle w:val="Normal"/>
        <w:widowControl/>
        <w:jc w:val="both"/>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jc w:val="both"/>
        <w:rPr/>
      </w:pPr>
      <w:r>
        <w:rPr/>
      </w:r>
    </w:p>
    <w:p>
      <w:pPr>
        <w:pStyle w:val="Normal"/>
        <w:widowControl/>
        <w:ind w:firstLine="1440" w:end="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jc w:val="both"/>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jc w:val="both"/>
        <w:rPr/>
      </w:pPr>
      <w:r>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pPr>
      <w:r>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jc w:val="both"/>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jc w:val="both"/>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jc w:val="both"/>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jc w:val="both"/>
        <w:rPr/>
      </w:pPr>
      <w:r>
        <w:rPr/>
      </w:r>
    </w:p>
    <w:p>
      <w:pPr>
        <w:pStyle w:val="Normal"/>
        <w:widowControl/>
        <w:ind w:firstLine="720" w:end="0"/>
        <w:jc w:val="both"/>
        <w:rPr/>
      </w:pPr>
      <w:r>
        <w:rPr/>
        <w:t>4.7</w:t>
        <w:tab/>
      </w:r>
      <w:r>
        <w:rPr>
          <w:u w:val="single"/>
        </w:rPr>
        <w:t>Tax Matters Member</w:t>
      </w:r>
      <w:r>
        <w:rPr/>
        <w:t>.</w:t>
      </w:r>
    </w:p>
    <w:p>
      <w:pPr>
        <w:pStyle w:val="Normal"/>
        <w:widowControl/>
        <w:jc w:val="both"/>
        <w:rPr/>
      </w:pPr>
      <w:r>
        <w:rPr/>
      </w:r>
    </w:p>
    <w:p>
      <w:pPr>
        <w:pStyle w:val="Normal"/>
        <w:widowControl/>
        <w:ind w:firstLine="1440" w:end="0"/>
        <w:jc w:val="both"/>
        <w:rPr/>
      </w:pPr>
      <w:r>
        <w:rPr/>
        <w:t>(a)</w:t>
        <w:tab/>
        <w:t>Sunlaw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jc w:val="both"/>
        <w:rPr/>
      </w:pPr>
      <w:r>
        <w:rPr/>
      </w:r>
    </w:p>
    <w:p>
      <w:pPr>
        <w:pStyle w:val="Normal"/>
        <w:widowControl/>
        <w:ind w:firstLine="720" w:end="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jc w:val="both"/>
        <w:rPr/>
      </w:pPr>
      <w:r>
        <w:rPr/>
      </w:r>
    </w:p>
    <w:p>
      <w:pPr>
        <w:pStyle w:val="Normal"/>
        <w:widowControl/>
        <w:ind w:firstLine="720" w:end="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jc w:val="both"/>
        <w:rPr/>
      </w:pPr>
      <w:r>
        <w:rPr/>
      </w:r>
    </w:p>
    <w:p>
      <w:pPr>
        <w:pStyle w:val="Normal"/>
        <w:widowControl/>
        <w:jc w:val="center"/>
        <w:rPr>
          <w:b/>
        </w:rPr>
      </w:pPr>
      <w:r>
        <w:rPr>
          <w:b/>
        </w:rPr>
        <w:t>SECTION 5</w:t>
      </w:r>
    </w:p>
    <w:p>
      <w:pPr>
        <w:pStyle w:val="Heading2"/>
        <w:ind w:hanging="0" w:start="0"/>
        <w:rPr/>
      </w:pPr>
      <w:r>
        <w:rPr/>
        <w:t>FINANCIAL MATTERS</w:t>
      </w:r>
    </w:p>
    <w:p>
      <w:pPr>
        <w:pStyle w:val="Normal"/>
        <w:widowControl/>
        <w:jc w:val="both"/>
        <w:rPr/>
      </w:pPr>
      <w:r>
        <w:rPr/>
      </w:r>
    </w:p>
    <w:p>
      <w:pPr>
        <w:pStyle w:val="Normal"/>
        <w:widowControl/>
        <w:ind w:firstLine="720" w:end="0"/>
        <w:jc w:val="both"/>
        <w:rPr/>
      </w:pPr>
      <w:r>
        <w:rPr/>
        <w:t>5.1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Sunlaw has contributed cash in the amount of Eight Hundred and No/100 Dollars ($800.00) to the capital of the Company.  The Members acknowledge that ENA owns a 20% membership interest in the Company and Sunlaw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jc w:val="both"/>
        <w:rPr/>
      </w:pPr>
      <w:r>
        <w:rPr/>
        <w:t>5.2</w:t>
        <w:tab/>
      </w:r>
      <w:r>
        <w:rPr>
          <w:u w:val="single"/>
        </w:rPr>
        <w:t>Allocation of Profits and Losses</w:t>
      </w:r>
      <w:r>
        <w:rPr/>
        <w:t>.</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Sunlaw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Sunlaw, until the cumulative Losses allocated to Sunlaw for the current and all prior Fiscal Years is equal to the excess of (A) the cumulative allocations of Profits allocated to Sunlaw pursuant to Section 5.2(a)(iv) for all prior Fiscal Years, over (B) the cumulative distributions of Distributable Cash made to Sunlaw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Sunlaw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jc w:val="both"/>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jc w:val="both"/>
        <w:rPr/>
      </w:pPr>
      <w:r>
        <w:rPr/>
      </w:r>
    </w:p>
    <w:p>
      <w:pPr>
        <w:pStyle w:val="Normal"/>
        <w:widowControl/>
        <w:ind w:firstLine="720" w:end="0"/>
        <w:jc w:val="both"/>
        <w:rPr/>
      </w:pPr>
      <w:r>
        <w:rPr/>
        <w:t>5.3</w:t>
        <w:tab/>
      </w:r>
      <w:r>
        <w:rPr>
          <w:u w:val="single"/>
        </w:rPr>
        <w:t>Distributions</w:t>
      </w:r>
      <w:r>
        <w:rPr/>
        <w:t>.</w:t>
      </w:r>
    </w:p>
    <w:p>
      <w:pPr>
        <w:pStyle w:val="Normal"/>
        <w:widowControl/>
        <w:jc w:val="both"/>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jc w:val="both"/>
        <w:rPr/>
      </w:pPr>
      <w:r>
        <w:rPr/>
      </w:r>
    </w:p>
    <w:p>
      <w:pPr>
        <w:pStyle w:val="Normal"/>
        <w:widowControl/>
        <w:ind w:firstLine="720" w:end="0"/>
        <w:jc w:val="both"/>
        <w:rPr/>
      </w:pPr>
      <w:r>
        <w:rPr/>
        <w:t>6.1</w:t>
        <w:tab/>
      </w:r>
      <w:r>
        <w:rPr>
          <w:u w:val="single"/>
        </w:rPr>
        <w:t>Transfer of Interests</w:t>
      </w:r>
      <w:r>
        <w:rPr/>
        <w:t>.</w:t>
      </w:r>
    </w:p>
    <w:p>
      <w:pPr>
        <w:pStyle w:val="Normal"/>
        <w:widowControl/>
        <w:jc w:val="both"/>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Sunlaw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Sunlaw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2002.  The price to be paid by Sunlaw for the ENA Interest at the Call Closing following exercise of the Call Right by Sunlaw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Sunlaw may exercise its Call Right by delivering no less than five (5) Business Days prior written notice to ENA in accordance with this Agreement.  If Sunlaw exercises the Call Right, then Sunlaw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Sunlaw to revoke its exercise of the Call Right at any time, which revocation shall not limit Sunlaw’s right to exercise the Call Right again.  At the Call Closing, Sunlaw shall pay to ENA the Call Price, and ENA shall deliver to Sunlaw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ENA shall have the right in its sole discretion to require Sunlaw to purchase the ENA Interest (the “</w:t>
      </w:r>
      <w:r>
        <w:rPr>
          <w:u w:val="single"/>
        </w:rPr>
        <w:t>Put Right</w:t>
      </w:r>
      <w:r>
        <w:rPr/>
        <w:t>”) at any time on or after (i) the date on which the GE Equipment achieves Takeover, or (ii) December 31, 2002.  The price to be paid by Sunlaw for the ENA Interest at the Put Closing following exercise of the Put Right by ENA shall be Two Hundred and No/100 Dollars ($200.00) (the “</w:t>
      </w:r>
      <w:r>
        <w:rPr>
          <w:u w:val="single"/>
        </w:rPr>
        <w:t>Put Price</w:t>
      </w:r>
      <w:r>
        <w:rPr/>
        <w:t>”).</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Sunlaw in accordance with this Agreement.  If ENA exercises the Put Right, then Sunlaw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Sunlaw shall pay to ENA the Put Price, and ENA shall deliver to Sunlaw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(1) deliver to Sunlaw all certificates, if any, representing the ENA Interest and an assignment of the ENA Interest to Sunlaw (in form reasonably acceptable to Sunlaw) duly executed by ENA and any other then owner of the ENA Interest, and (2) represent and warrant to Sunlaw that upon the delivery of the assignment of the ENA Interest to Sunlaw as contemplated by this Agreement and payment therefor as contemplated by this Agreement, Sunlaw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 shall be paid by Sunlaw.</w:t>
      </w:r>
    </w:p>
    <w:p>
      <w:pPr>
        <w:pStyle w:val="Normal"/>
        <w:widowControl/>
        <w:jc w:val="both"/>
        <w:rPr/>
      </w:pPr>
      <w:r>
        <w:rPr/>
      </w:r>
    </w:p>
    <w:p>
      <w:pPr>
        <w:pStyle w:val="Normal"/>
        <w:widowControl/>
        <w:ind w:firstLine="720" w:end="0"/>
        <w:jc w:val="both"/>
        <w:rPr/>
      </w:pPr>
      <w:r>
        <w:rPr/>
        <w:t>6.3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jc w:val="both"/>
        <w:rPr/>
      </w:pPr>
      <w:r>
        <w:rPr/>
        <w:t>6.4</w:t>
        <w:tab/>
      </w:r>
      <w:r>
        <w:rPr>
          <w:u w:val="single"/>
        </w:rPr>
        <w:t>Limited Liability; Indemnification of Members</w:t>
      </w:r>
      <w:r>
        <w:rPr/>
        <w:t xml:space="preserve">.  </w:t>
      </w:r>
    </w:p>
    <w:p>
      <w:pPr>
        <w:pStyle w:val="Normal"/>
        <w:keepNext w:val="true"/>
        <w:keepLines/>
        <w:widowControl/>
        <w:jc w:val="both"/>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jc w:val="both"/>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Heading2"/>
        <w:ind w:hanging="0" w:start="0"/>
        <w:rPr/>
      </w:pPr>
      <w:r>
        <w:rPr/>
        <w:t>WITHDRAWAL; DISSOLUTION</w:t>
      </w:r>
    </w:p>
    <w:p>
      <w:pPr>
        <w:pStyle w:val="Normal"/>
        <w:keepNext w:val="true"/>
        <w:widowControl/>
        <w:jc w:val="both"/>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jc w:val="both"/>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Heading2"/>
        <w:ind w:hanging="0" w:start="0"/>
        <w:rPr/>
      </w:pPr>
      <w:r>
        <w:rPr/>
        <w:t>INVESTMENT REPRESENTATIONS OF THE MEMBERS</w:t>
      </w:r>
    </w:p>
    <w:p>
      <w:pPr>
        <w:pStyle w:val="Normal"/>
        <w:widowControl/>
        <w:jc w:val="both"/>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jc w:val="both"/>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Sunlaw, to:</w:t>
      </w:r>
    </w:p>
    <w:p>
      <w:pPr>
        <w:pStyle w:val="Normal"/>
        <w:keepNext w:val="true"/>
        <w:widowControl/>
        <w:jc w:val="both"/>
        <w:rPr/>
      </w:pPr>
      <w:r>
        <w:rPr/>
      </w:r>
    </w:p>
    <w:p>
      <w:pPr>
        <w:pStyle w:val="Normal"/>
        <w:keepNext w:val="true"/>
        <w:widowControl/>
        <w:ind w:firstLine="2160" w:end="0"/>
        <w:jc w:val="both"/>
        <w:rPr/>
      </w:pPr>
      <w:r>
        <w:rPr/>
        <w:t>Sunlaw Energy Corporation</w:t>
      </w:r>
    </w:p>
    <w:p>
      <w:pPr>
        <w:pStyle w:val="Normal"/>
        <w:keepNext w:val="true"/>
        <w:widowControl/>
        <w:ind w:firstLine="2160" w:end="0"/>
        <w:jc w:val="both"/>
        <w:rPr/>
      </w:pPr>
      <w:r>
        <w:rPr/>
        <w:t>__________________________</w:t>
      </w:r>
    </w:p>
    <w:p>
      <w:pPr>
        <w:pStyle w:val="Normal"/>
        <w:keepNext w:val="true"/>
        <w:widowControl/>
        <w:ind w:firstLine="2160" w:end="0"/>
        <w:jc w:val="both"/>
        <w:rPr/>
      </w:pPr>
      <w:r>
        <w:rPr/>
        <w:t>__________________________</w:t>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jc w:val="both"/>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bCs/>
          <w:sz w:val="22"/>
        </w:rPr>
        <w:t>(</w:t>
      </w:r>
      <w:r>
        <w:rPr>
          <w:bCs/>
        </w:rPr>
        <w:t>a)</w:t>
      </w:r>
      <w:r>
        <w:rPr/>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w:t>
      </w:r>
      <w:r>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w:t>
      </w:r>
      <w:r>
        <w:rPr/>
        <w:tab/>
        <w:t>The respondent Party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(iii)</w:t>
      </w:r>
      <w:r>
        <w:rPr/>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bCs/>
        </w:rPr>
        <w:t>(1)</w:t>
      </w:r>
      <w:r>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Cs/>
        </w:rPr>
        <w:t>(2)</w:t>
      </w:r>
      <w:r>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pPr>
      <w:r>
        <w:rPr/>
      </w:r>
    </w:p>
    <w:p>
      <w:pPr>
        <w:pStyle w:val="Normal"/>
        <w:widowControl/>
        <w:ind w:firstLine="720" w:start="1440" w:end="0"/>
        <w:jc w:val="both"/>
        <w:rPr/>
      </w:pPr>
      <w:r>
        <w:rPr>
          <w:bCs/>
        </w:rPr>
        <w:t>(3)</w:t>
      </w:r>
      <w:r>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(iv)</w:t>
      </w:r>
      <w:r>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w:t>
      </w:r>
      <w:r>
        <w:rPr/>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bCs/>
        </w:rPr>
        <w:t>(1)</w:t>
      </w:r>
      <w:r>
        <w:rPr/>
        <w:tab/>
        <w:t>The arbitration hearing shall be held in Houston, Texas, at a location mutually agreed by the Parties, or failing such agreement, at a location determined by the arbitration panel;</w:t>
      </w:r>
    </w:p>
    <w:p>
      <w:pPr>
        <w:pStyle w:val="Normal"/>
        <w:widowControl/>
        <w:jc w:val="both"/>
        <w:rPr/>
      </w:pPr>
      <w:r>
        <w:rPr/>
      </w:r>
    </w:p>
    <w:p>
      <w:pPr>
        <w:pStyle w:val="Normal"/>
        <w:widowControl/>
        <w:ind w:firstLine="720" w:start="1440" w:end="0"/>
        <w:jc w:val="both"/>
        <w:rPr/>
      </w:pPr>
      <w:r>
        <w:rPr>
          <w:bCs/>
        </w:rPr>
        <w:t>(2)</w:t>
      </w:r>
      <w:r>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bCs/>
        </w:rPr>
        <w:t>(3)</w:t>
      </w:r>
      <w:r>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w:t>
        <w:tab/>
      </w:r>
      <w:r>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bCs/>
        </w:rPr>
        <w:t>(1)</w:t>
        <w:tab/>
      </w:r>
      <w:r>
        <w:rPr/>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bCs/>
        </w:rPr>
        <w:t>(2)</w:t>
      </w:r>
      <w:r>
        <w:rPr/>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bCs/>
        </w:rPr>
        <w:t>(3)</w:t>
      </w:r>
      <w:r>
        <w:rPr/>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w:t>
      </w:r>
      <w:r>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(viii)</w:t>
        <w:tab/>
      </w:r>
      <w:r>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(ix)</w:t>
        <w:tab/>
      </w:r>
      <w:r>
        <w:rPr/>
        <w:t>All time limits stated in this section are for the convenience of the Parties and may be altered upon mutual agreement of the parties.</w:t>
      </w:r>
    </w:p>
    <w:p>
      <w:pPr>
        <w:pStyle w:val="Normal"/>
        <w:widowControl/>
        <w:jc w:val="both"/>
        <w:rPr>
          <w:color w:val="000000"/>
        </w:rPr>
      </w:pPr>
      <w:r>
        <w:rPr>
          <w:color w:val="000000"/>
        </w:rPr>
      </w:r>
    </w:p>
    <w:p>
      <w:pPr>
        <w:pStyle w:val="Normal"/>
        <w:widowControl/>
        <w:ind w:firstLine="1440" w:end="0"/>
        <w:jc w:val="both"/>
        <w:rPr/>
      </w:pPr>
      <w:r>
        <w:rPr>
          <w:bCs/>
        </w:rPr>
        <w:t>(b)</w:t>
      </w:r>
      <w:r>
        <w:rPr/>
        <w:tab/>
      </w:r>
      <w:r>
        <w:rPr>
          <w:u w:val="single"/>
        </w:rPr>
        <w:t>Sole and Exclusive Remedy</w:t>
      </w:r>
      <w:r>
        <w:rPr/>
        <w:t>.  The procedures specified in this Section 10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r>
        <w:rPr>
          <w:sz w:val="22"/>
        </w:rPr>
        <w:t>.</w:t>
      </w:r>
    </w:p>
    <w:p>
      <w:pPr>
        <w:pStyle w:val="Normal"/>
        <w:widowControl/>
        <w:jc w:val="both"/>
        <w:rPr>
          <w:sz w:val="22"/>
        </w:rPr>
      </w:pPr>
      <w:r>
        <w:rPr>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43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b/>
        </w:rPr>
      </w:pPr>
      <w:r>
        <w:rPr>
          <w:b/>
        </w:rPr>
        <w:t>SUNLAW ENERGY CORPORATION</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w:t>
      </w:r>
    </w:p>
    <w:p>
      <w:pPr>
        <w:pStyle w:val="Normal"/>
        <w:widowControl/>
        <w:tabs>
          <w:tab w:val="clear" w:pos="720"/>
          <w:tab w:val="left" w:pos="4320" w:leader="none"/>
          <w:tab w:val="left" w:pos="4680" w:leader="none"/>
        </w:tabs>
        <w:ind w:start="4680" w:end="0"/>
        <w:jc w:val="both"/>
        <w:rPr/>
      </w:pP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t>Title:</w:t>
      </w:r>
    </w:p>
    <w:p>
      <w:pPr>
        <w:pStyle w:val="Heading3"/>
        <w:ind w:hanging="0" w:start="0"/>
        <w:rPr/>
      </w:pPr>
      <w:r>
        <w:rPr/>
        <w:t>ANNEX A</w:t>
      </w:r>
    </w:p>
    <w:p>
      <w:pPr>
        <w:pStyle w:val="Normal"/>
        <w:widowControl/>
        <w:jc w:val="both"/>
        <w:rPr/>
      </w:pPr>
      <w:r>
        <w:rPr/>
      </w:r>
    </w:p>
    <w:p>
      <w:pPr>
        <w:pStyle w:val="Heading3"/>
        <w:ind w:hanging="0" w:start="0"/>
        <w:rPr/>
      </w:pPr>
      <w:r>
        <w:rPr/>
        <w:t>DEFINITIONS</w:t>
      </w:r>
    </w:p>
    <w:p>
      <w:pPr>
        <w:pStyle w:val="Normal"/>
        <w:widowControl/>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Sunlaw,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_____________, 2001, between ENA and Sunlaw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Sunlaw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Sunlaw</w:t>
      </w:r>
      <w:r>
        <w:rPr/>
        <w:t>” is defined in the preamble.</w:t>
      </w:r>
    </w:p>
    <w:p>
      <w:pPr>
        <w:pStyle w:val="Normal"/>
        <w:widowControl/>
        <w:jc w:val="both"/>
        <w:rPr/>
      </w:pPr>
      <w:r>
        <w:rPr/>
      </w:r>
    </w:p>
    <w:p>
      <w:pPr>
        <w:pStyle w:val="Normal"/>
        <w:widowControl/>
        <w:ind w:firstLine="1440" w:end="0"/>
        <w:jc w:val="both"/>
        <w:rPr/>
      </w:pPr>
      <w:r>
        <w:rPr/>
        <w:t>“</w:t>
      </w:r>
      <w:r>
        <w:rPr>
          <w:u w:val="single"/>
        </w:rPr>
        <w:t>Sunlaw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is defined in Section 3.1.5.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Heading3"/>
        <w:ind w:hanging="0" w:start="0"/>
        <w:rPr/>
      </w:pPr>
      <w:r>
        <w:rPr/>
        <w:t>ANNEX B</w:t>
      </w:r>
    </w:p>
    <w:p>
      <w:pPr>
        <w:pStyle w:val="Normal"/>
        <w:widowControl/>
        <w:jc w:val="both"/>
        <w:rPr/>
      </w:pPr>
      <w:r>
        <w:rPr/>
      </w:r>
    </w:p>
    <w:p>
      <w:pPr>
        <w:pStyle w:val="Normal"/>
        <w:widowControl/>
        <w:jc w:val="both"/>
        <w:rPr/>
      </w:pPr>
      <w:r>
        <w:rPr/>
      </w:r>
    </w:p>
    <w:p>
      <w:pPr>
        <w:pStyle w:val="Heading2"/>
        <w:ind w:hanging="0" w:start="0"/>
        <w:rPr/>
      </w:pPr>
      <w:r>
        <w:rPr/>
        <w:t>Provisions Applicable to Confidential Information</w:t>
      </w:r>
    </w:p>
    <w:p>
      <w:pPr>
        <w:pStyle w:val="Normal"/>
        <w:widowControl/>
        <w:jc w:val="both"/>
        <w:rPr/>
      </w:pPr>
      <w:r>
        <w:rPr/>
      </w:r>
    </w:p>
    <w:p>
      <w:pPr>
        <w:pStyle w:val="Normal"/>
        <w:widowControl/>
        <w:jc w:val="both"/>
        <w:rPr/>
      </w:pPr>
      <w:r>
        <w:rPr/>
      </w:r>
    </w:p>
    <w:p>
      <w:pPr>
        <w:pStyle w:val="Normal"/>
        <w:widowControl/>
        <w:jc w:val="both"/>
        <w:rPr/>
      </w:pPr>
      <w:r>
        <w:rPr/>
      </w:r>
    </w:p>
    <w:p>
      <w:pPr>
        <w:pStyle w:val="Heading2"/>
        <w:ind w:hanging="0" w:start="0"/>
        <w:rPr>
          <w:u w:val="single"/>
        </w:rPr>
      </w:pPr>
      <w:r>
        <w:rPr>
          <w:u w:val="single"/>
        </w:rPr>
        <w:t>Definitions</w:t>
      </w:r>
    </w:p>
    <w:p>
      <w:pPr>
        <w:pStyle w:val="Normal"/>
        <w:widowControl/>
        <w:jc w:val="both"/>
        <w:rPr>
          <w:u w:val="single"/>
        </w:rPr>
      </w:pPr>
      <w:r>
        <w:rPr>
          <w:u w:val="single"/>
        </w:rPr>
      </w:r>
    </w:p>
    <w:p>
      <w:pPr>
        <w:pStyle w:val="Normal"/>
        <w:widowControl/>
        <w:ind w:firstLine="720" w:end="0"/>
        <w:jc w:val="both"/>
        <w:rPr/>
      </w:pPr>
      <w:r>
        <w:rPr/>
        <w:t>1.1</w:t>
        <w:tab/>
        <w:t>As used herein “</w:t>
      </w:r>
      <w:r>
        <w:rPr>
          <w:u w:val="single"/>
        </w:rPr>
        <w:t>Confidential Information</w:t>
      </w:r>
      <w:r>
        <w:rPr/>
        <w:t>” shall mean ENA Confidential Information and/or Sunlaw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Sunlaw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Sunlaw Confidential Information</w:t>
      </w:r>
      <w:r>
        <w:rPr/>
        <w:t>” shall mean any and all information, including trade secrets and know</w:t>
        <w:noBreakHyphen/>
        <w:t>how proprietary to Sunlaw, that is disclosed to ENA by Sunlaw in connection with the negotiation of this Agreement or the operation of the Company.</w:t>
      </w:r>
    </w:p>
    <w:p>
      <w:pPr>
        <w:pStyle w:val="Normal"/>
        <w:widowControl/>
        <w:jc w:val="both"/>
        <w:rPr/>
      </w:pPr>
      <w:r>
        <w:rPr/>
      </w:r>
    </w:p>
    <w:p>
      <w:pPr>
        <w:pStyle w:val="Heading3"/>
        <w:ind w:hanging="0" w:start="0"/>
        <w:rPr/>
      </w:pPr>
      <w:r>
        <w:rPr/>
        <w:t>Disclosure Restrictions</w:t>
      </w:r>
    </w:p>
    <w:p>
      <w:pPr>
        <w:pStyle w:val="Normal"/>
        <w:widowControl/>
        <w:jc w:val="both"/>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jc w:val="both"/>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jc w:val="both"/>
        <w:rPr/>
      </w:pPr>
      <w:r>
        <w:rPr/>
      </w:r>
    </w:p>
    <w:p>
      <w:pPr>
        <w:pStyle w:val="Heading3"/>
        <w:ind w:hanging="0" w:start="0"/>
        <w:rPr/>
      </w:pPr>
      <w:r>
        <w:rPr/>
        <w:t>Return of Materials</w:t>
      </w:r>
    </w:p>
    <w:p>
      <w:pPr>
        <w:pStyle w:val="Normal"/>
        <w:widowControl/>
        <w:jc w:val="both"/>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3"/>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Heading3"/>
        <w:ind w:hanging="0" w:start="0"/>
        <w:rPr/>
      </w:pPr>
      <w:r>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Houston-136764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2001-03-07T01:10:00Z</dcterms:created>
  <dc:creator>Carolyn Campbell</dc:creator>
  <dc:description>Houston-136764 v1</dc:description>
  <dc:language>en-CA</dc:language>
  <cp:lastModifiedBy>kmann</cp:lastModifiedBy>
  <cp:lastPrinted>2001-03-06T12:21:00Z</cp:lastPrinted>
  <dcterms:modified xsi:type="dcterms:W3CDTF">2001-03-07T12:58:00Z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