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ETS Asset Development</w:t>
      </w:r>
    </w:p>
    <w:p>
      <w:pPr>
        <w:pStyle w:val="Normal"/>
        <w:jc w:val="center"/>
        <w:rPr>
          <w:b/>
          <w:bCs/>
          <w:i/>
          <w:i/>
          <w:iCs/>
        </w:rPr>
      </w:pPr>
      <w:r>
        <w:rPr>
          <w:b/>
          <w:bCs/>
          <w:i/>
          <w:iCs/>
        </w:rPr>
        <w:t>PROJECT SUN DEVIL</w:t>
      </w:r>
    </w:p>
    <w:p>
      <w:pPr>
        <w:pStyle w:val="Normal"/>
        <w:jc w:val="center"/>
        <w:rPr>
          <w:b/>
          <w:bCs/>
          <w:i/>
          <w:i/>
          <w:iCs/>
        </w:rPr>
      </w:pPr>
      <w:r>
        <w:rPr>
          <w:b/>
          <w:bCs/>
          <w:i/>
          <w:iCs/>
        </w:rPr>
      </w:r>
    </w:p>
    <w:p>
      <w:pPr>
        <w:pStyle w:val="Subtitle"/>
        <w:rPr/>
      </w:pPr>
      <w:r>
        <w:rPr/>
        <w:t>EXECUTIVE SUMMARY</w:t>
      </w:r>
    </w:p>
    <w:p>
      <w:pPr>
        <w:pStyle w:val="Subtitle"/>
        <w:rPr/>
      </w:pPr>
      <w:r>
        <w:rPr/>
      </w:r>
    </w:p>
    <w:p>
      <w:pPr>
        <w:pStyle w:val="Normal"/>
        <w:rPr>
          <w:b/>
          <w:bCs/>
        </w:rPr>
      </w:pPr>
      <w:r>
        <w:rPr>
          <w:b/>
          <w:bCs/>
        </w:rPr>
        <w:t>I.  Description / Scope</w:t>
      </w:r>
    </w:p>
    <w:p>
      <w:pPr>
        <w:pStyle w:val="Normal"/>
        <w:rPr>
          <w:b/>
          <w:bCs/>
        </w:rPr>
      </w:pPr>
      <w:r>
        <w:rPr>
          <w:b/>
          <w:bCs/>
        </w:rPr>
      </w:r>
    </w:p>
    <w:p>
      <w:pPr>
        <w:pStyle w:val="Normal"/>
        <w:rPr/>
      </w:pPr>
      <w:r>
        <w:rPr/>
        <w:t>Project Sun Devil is a $911 million expansion of Transwestern Pipeline’s interstate natural gas system.  The project is designed to move incremental San Juan and Rocky mountain gas production through 490 miles of new pipe looping and compression to serve growing Phoenix, AZ and Southern California markets.</w:t>
      </w:r>
    </w:p>
    <w:p>
      <w:pPr>
        <w:pStyle w:val="Normal"/>
        <w:rPr/>
      </w:pPr>
      <w:r>
        <w:rPr/>
      </w:r>
    </w:p>
    <w:p>
      <w:pPr>
        <w:pStyle w:val="Normal"/>
        <w:rPr/>
      </w:pPr>
      <w:r>
        <w:rPr/>
        <w:t>The project begins in San Juan County, NM by looping TW’s existing San Juan lateral.  The 36-inch loop would start at the Blanco hub going south to the Gallup compressor station.   Modifications would need to be made at both the Bloomfield and Gallup, NM compressors plus modifications to the Blanco hub facilities.  A new compressor may also be required at the Standing Rock location in the Navajo territory depending on customer demand.</w:t>
      </w:r>
    </w:p>
    <w:p>
      <w:pPr>
        <w:pStyle w:val="Normal"/>
        <w:rPr/>
      </w:pPr>
      <w:r>
        <w:rPr/>
      </w:r>
    </w:p>
    <w:p>
      <w:pPr>
        <w:pStyle w:val="Normal"/>
        <w:rPr/>
      </w:pPr>
      <w:r>
        <w:rPr/>
        <w:t>The mainline looping going west from Gallup will consist of 224 miles of 36-inch pipe.  At Flagstaff, AZ, a new 169 mile 36” lateral will be built running south to Phoenix in Maricopa County, AZ.  To minimize cultural and environmental impacts, the Phoenix lateral will follow existing rights-of-way where possible.</w:t>
      </w:r>
    </w:p>
    <w:p>
      <w:pPr>
        <w:pStyle w:val="Normal"/>
        <w:rPr/>
      </w:pPr>
      <w:r>
        <w:rPr/>
      </w:r>
    </w:p>
    <w:p>
      <w:pPr>
        <w:pStyle w:val="Normal"/>
        <w:rPr/>
      </w:pPr>
      <w:r>
        <w:rPr/>
        <w:t xml:space="preserve">At Phoenix, the lateral would loop to the west to access the growing gas-fired electric generation market and a newly proposed salt dome storage cavern.  Phoenix area gas demand is expected to grow by over 1.5 Bcf/day by 2003 with the start-up of these new generators.  </w:t>
      </w:r>
    </w:p>
    <w:p>
      <w:pPr>
        <w:pStyle w:val="Normal"/>
        <w:rPr/>
      </w:pPr>
      <w:r>
        <w:rPr/>
      </w:r>
    </w:p>
    <w:p>
      <w:pPr>
        <w:pStyle w:val="Normal"/>
        <w:rPr/>
      </w:pPr>
      <w:r>
        <w:rPr/>
        <w:t>The project would be sold according to the path and capacities shown below:</w:t>
      </w:r>
    </w:p>
    <w:p>
      <w:pPr>
        <w:pStyle w:val="Normal"/>
        <w:rPr>
          <w:b/>
          <w:bCs/>
        </w:rPr>
      </w:pPr>
      <w:r>
        <w:rPr>
          <w:b/>
          <w:bCs/>
        </w:rPr>
      </w:r>
    </w:p>
    <w:p>
      <w:pPr>
        <w:pStyle w:val="Normal"/>
        <w:rPr/>
      </w:pPr>
      <w:r>
        <w:rPr>
          <w:b/>
          <w:bCs/>
        </w:rPr>
        <w:t>I. A.  Capacities</w:t>
      </w:r>
      <w:r>
        <w:rPr/>
        <w:t xml:space="preserve"> </w:t>
      </w:r>
    </w:p>
    <w:p>
      <w:pPr>
        <w:pStyle w:val="Normal"/>
        <w:rPr/>
      </w:pPr>
      <w:r>
        <w:rPr/>
        <w:t xml:space="preserve">San Juan Lateral </w:t>
        <w:tab/>
        <w:tab/>
        <w:tab/>
        <w:t>780,000 MMBtu/d</w:t>
      </w:r>
    </w:p>
    <w:p>
      <w:pPr>
        <w:pStyle w:val="Normal"/>
        <w:rPr/>
      </w:pPr>
      <w:r>
        <w:rPr/>
        <w:t>Thoreau west to Cal Border</w:t>
        <w:tab/>
        <w:tab/>
        <w:t>310,000 “         “</w:t>
      </w:r>
    </w:p>
    <w:p>
      <w:pPr>
        <w:pStyle w:val="Normal"/>
        <w:rPr/>
      </w:pPr>
      <w:r>
        <w:rPr/>
        <w:t>Phoenix, AZ</w:t>
        <w:tab/>
        <w:tab/>
        <w:tab/>
        <w:tab/>
        <w:t>500,000 “         “</w:t>
      </w:r>
    </w:p>
    <w:p>
      <w:pPr>
        <w:pStyle w:val="Normal"/>
        <w:rPr/>
      </w:pPr>
      <w:r>
        <w:rPr/>
      </w:r>
    </w:p>
    <w:p>
      <w:pPr>
        <w:pStyle w:val="Normal"/>
        <w:rPr>
          <w:b/>
          <w:bCs/>
        </w:rPr>
      </w:pPr>
      <w:r>
        <w:rPr>
          <w:b/>
          <w:bCs/>
        </w:rPr>
        <w:t>I. B.  Timing:</w:t>
      </w:r>
    </w:p>
    <w:p>
      <w:pPr>
        <w:pStyle w:val="Normal"/>
        <w:rPr/>
      </w:pPr>
      <w:r>
        <w:rPr/>
        <w:t>Binding Open-season closed August 30, 2001</w:t>
      </w:r>
    </w:p>
    <w:p>
      <w:pPr>
        <w:pStyle w:val="Normal"/>
        <w:rPr/>
      </w:pPr>
      <w:r>
        <w:rPr/>
        <w:t>FERC application September 2002</w:t>
      </w:r>
    </w:p>
    <w:p>
      <w:pPr>
        <w:pStyle w:val="Normal"/>
        <w:rPr/>
      </w:pPr>
      <w:r>
        <w:rPr/>
        <w:t>Submit binding contracts and EIS to FERC by October 2002</w:t>
      </w:r>
    </w:p>
    <w:p>
      <w:pPr>
        <w:pStyle w:val="Normal"/>
        <w:rPr/>
      </w:pPr>
      <w:r>
        <w:rPr/>
        <w:t>Pipe in-service date Q3 2004</w:t>
      </w:r>
    </w:p>
    <w:p>
      <w:pPr>
        <w:pStyle w:val="Normal"/>
        <w:rPr/>
      </w:pPr>
      <w:r>
        <w:rPr/>
      </w:r>
    </w:p>
    <w:p>
      <w:pPr>
        <w:pStyle w:val="Normal"/>
        <w:rPr/>
      </w:pPr>
      <w:r>
        <w:rPr/>
      </w:r>
    </w:p>
    <w:p>
      <w:pPr>
        <w:pStyle w:val="Heading1"/>
        <w:ind w:hanging="0" w:start="0"/>
        <w:rPr/>
      </w:pPr>
      <w:r>
        <w:rPr/>
        <w:t>II.  Commercial Summary</w:t>
      </w:r>
    </w:p>
    <w:p>
      <w:pPr>
        <w:pStyle w:val="Heading1"/>
        <w:ind w:hanging="0" w:start="0"/>
        <w:rPr/>
      </w:pPr>
      <w:r>
        <w:rPr/>
      </w:r>
    </w:p>
    <w:p>
      <w:pPr>
        <w:pStyle w:val="Heading1"/>
        <w:ind w:hanging="0" w:start="0"/>
        <w:rPr/>
      </w:pPr>
      <w:r>
        <w:rPr/>
        <w:t>II. A. Gas Market</w:t>
      </w:r>
    </w:p>
    <w:p>
      <w:pPr>
        <w:pStyle w:val="Normal"/>
        <w:rPr/>
      </w:pPr>
      <w:r>
        <w:rPr/>
        <w:t>The Project’s goal is to deliver incremental gas supplies from the transport-constrained San Juan basin to the growing Phoenix market.  The Phoenix area has been the 2</w:t>
      </w:r>
      <w:r>
        <w:rPr>
          <w:vertAlign w:val="superscript"/>
        </w:rPr>
        <w:t>nd</w:t>
      </w:r>
      <w:r>
        <w:rPr/>
        <w:t xml:space="preserve"> fastest growing region in the continental U.S. for the last several years.  The area has also been electric supply constrained and local utilities import as much as 25% of their generation needs annually.    </w:t>
      </w:r>
    </w:p>
    <w:p>
      <w:pPr>
        <w:pStyle w:val="Normal"/>
        <w:rPr/>
      </w:pPr>
      <w:r>
        <w:rPr/>
      </w:r>
    </w:p>
    <w:p>
      <w:pPr>
        <w:pStyle w:val="Normal"/>
        <w:rPr/>
      </w:pPr>
      <w:r>
        <w:rPr/>
        <w:t>To address area growth, local utilities and independent power producers have successfully petitioned the Arizona Corporation Commission to allow new large-scale gas-fired generation plants to be constructed.  Developers such as Sempra, PG&amp;E, Duke, Reliant Energy, Panda International, and AZ Public Service have all broken ground on new generation projects (see attached plant listing in Section II E).</w:t>
      </w:r>
    </w:p>
    <w:p>
      <w:pPr>
        <w:pStyle w:val="Normal"/>
        <w:rPr/>
      </w:pPr>
      <w:r>
        <w:rPr/>
      </w:r>
    </w:p>
    <w:p>
      <w:pPr>
        <w:pStyle w:val="Normal"/>
        <w:rPr/>
      </w:pPr>
      <w:r>
        <w:rPr/>
        <w:t>The problem these new generators face is the lack of firm pipeline transport capacity.  Some generators hold firm capacity on El Paso Natural Gas (EPNG) due to their existing full-requirements contracts; others have had to rely on the secondary release market or marketers who hold firm transport.  Incremental transport demand from these new generators is projected to be as high as 1.5 Bcf/day.</w:t>
      </w:r>
    </w:p>
    <w:p>
      <w:pPr>
        <w:pStyle w:val="Normal"/>
        <w:rPr/>
      </w:pPr>
      <w:r>
        <w:rPr/>
      </w:r>
    </w:p>
    <w:p>
      <w:pPr>
        <w:pStyle w:val="Normal"/>
        <w:rPr/>
      </w:pPr>
      <w:r>
        <w:rPr/>
      </w:r>
    </w:p>
    <w:p>
      <w:pPr>
        <w:pStyle w:val="Heading1"/>
        <w:ind w:hanging="0" w:start="0"/>
        <w:rPr/>
      </w:pPr>
      <w:r>
        <w:rPr/>
        <w:t>II. B.  Transport Market</w:t>
      </w:r>
    </w:p>
    <w:p>
      <w:pPr>
        <w:pStyle w:val="Normal"/>
        <w:rPr/>
      </w:pPr>
      <w:r>
        <w:rPr/>
        <w:t>To date, EPNG has been the sole pipeline serving the needs of Phoenix.  EPNG shippers source gas supply from both the Permian and San Juan basins.  Population growth in the Southwest over the last several years has put a severe strain on EPNG’s capacity, especially in peak summer cooling and winter heating demand periods.  This was evidenced most recently during the winter of 2000-01 when shippers holding firm contracts were cut upwards of 40% of their contract demand and gas sold at Cal border in excess of $60.00 MMBtu.  These figures do not include the anticipated demands created by the new electric generators when they begin plant start up in 2002-03.</w:t>
      </w:r>
    </w:p>
    <w:p>
      <w:pPr>
        <w:pStyle w:val="Normal"/>
        <w:rPr/>
      </w:pPr>
      <w:r>
        <w:rPr/>
      </w:r>
    </w:p>
    <w:p>
      <w:pPr>
        <w:pStyle w:val="Normal"/>
        <w:rPr/>
      </w:pPr>
      <w:r>
        <w:rPr/>
        <w:t>As a result of 2000 – 2001 winter transport debacle, EPNG shippers have protested to FERC to revise the method in which EPNG allocates its system.  Shippers have also accused EPNG of over-subscribing its pipeline capacity.  Shippers estimate EPNG being short capacity ranging from 300,000 MMBtu/d to as much as 1 Bcf/d, again, exclusive of the new demands from local area generators.</w:t>
      </w:r>
    </w:p>
    <w:p>
      <w:pPr>
        <w:pStyle w:val="Normal"/>
        <w:rPr/>
      </w:pPr>
      <w:r>
        <w:rPr/>
      </w:r>
    </w:p>
    <w:p>
      <w:pPr>
        <w:pStyle w:val="Normal"/>
        <w:rPr/>
      </w:pPr>
      <w:r>
        <w:rPr/>
        <w:t>Part of the constraint on EPNG is due to the Full Requirements (FR) contracts held by LDC’s, generators, and some industrial concerns.  Under the FR contracts, EPNG is obligated to serve 100% of the FR needs, sometimes at the expense of contract demand (CD) customers.  FERC is currently exploring ways to either abrogate or restructure these FR contracts.  Settlement is expected to occur sometime in the first half of 2002.</w:t>
      </w:r>
    </w:p>
    <w:p>
      <w:pPr>
        <w:pStyle w:val="Normal"/>
        <w:rPr/>
      </w:pPr>
      <w:r>
        <w:rPr/>
      </w:r>
    </w:p>
    <w:p>
      <w:pPr>
        <w:pStyle w:val="Normal"/>
        <w:rPr/>
      </w:pPr>
      <w:r>
        <w:rPr/>
      </w:r>
    </w:p>
    <w:p>
      <w:pPr>
        <w:pStyle w:val="Heading1"/>
        <w:ind w:hanging="0" w:start="0"/>
        <w:rPr/>
      </w:pPr>
      <w:r>
        <w:rPr/>
        <w:t>II. C. Competition</w:t>
      </w:r>
    </w:p>
    <w:p>
      <w:pPr>
        <w:pStyle w:val="Normal"/>
        <w:rPr/>
      </w:pPr>
      <w:r>
        <w:rPr/>
        <w:t xml:space="preserve">The following chart illustrates the rate differences between existing El Paso transportation and proposed Sun Devil rates plus a combined Sonoran / Sun Devil project rate.  The biggest cost issue for prospective shippers on Sun Devil to this point has been fuel rates.  </w:t>
      </w:r>
    </w:p>
    <w:p>
      <w:pPr>
        <w:pStyle w:val="Normal"/>
        <w:rPr/>
      </w:pPr>
      <w:r>
        <w:rPr/>
      </w:r>
    </w:p>
    <w:p>
      <w:pPr>
        <w:pStyle w:val="Normal"/>
        <w:rPr/>
      </w:pPr>
      <w:r>
        <w:rPr/>
      </w:r>
    </w:p>
    <w:p>
      <w:pPr>
        <w:pStyle w:val="Normal"/>
        <w:rPr>
          <w:sz w:val="20"/>
          <w:lang w:val="en-CA" w:eastAsia="en-CA"/>
        </w:rPr>
      </w:pPr>
      <w:r>
        <w:rPr>
          <w:sz w:val="20"/>
          <w:lang w:val="en-CA" w:eastAsia="en-CA"/>
        </w:rPr>
        <w:object w:dxaOrig="12358" w:dyaOrig="615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18pt;width:576pt;height:306pt;mso-wrap-distance-left:9.05pt;mso-wrap-distance-right:9.05pt;mso-position-horizontal-relative:text;mso-position-vertical-relative:text" filled="f" o:ole="">
            <v:imagedata r:id="rId3" o:title=""/>
            <w10:wrap type="topAndBottom"/>
          </v:shape>
          <o:OLEObject Type="Embed" ProgID="Excel.Sheet.12" ShapeID="ole_rId2" DrawAspect="Content" ObjectID="_58435091" r:id="rId2"/>
        </w:object>
      </w:r>
    </w:p>
    <w:p>
      <w:pPr>
        <w:pStyle w:val="Normal"/>
        <w:rPr/>
      </w:pPr>
      <w:r>
        <w:rPr/>
      </w:r>
    </w:p>
    <w:p>
      <w:pPr>
        <w:pStyle w:val="Normal"/>
        <w:rPr/>
      </w:pPr>
      <w:r>
        <w:rPr/>
      </w:r>
    </w:p>
    <w:p>
      <w:pPr>
        <w:pStyle w:val="Normal"/>
        <w:rPr>
          <w:i/>
          <w:i/>
          <w:iCs/>
        </w:rPr>
      </w:pPr>
      <w:r>
        <w:rPr>
          <w:i/>
          <w:iCs/>
        </w:rPr>
        <w:t>EPNG</w:t>
      </w:r>
    </w:p>
    <w:p>
      <w:pPr>
        <w:pStyle w:val="Normal"/>
        <w:rPr/>
      </w:pPr>
      <w:r>
        <w:rPr/>
        <w:t>El Paso Natural Gas has two mainline transmission systems, north and south, that traverse Arizona flowing east to west.  El Paso has several options to compete with Sun Devil.  To compete on a heads-up basis, El Paso would need to construct a similar project of similar size from the San Juan basin.  Any further expansion of EPNG’s north system is unlikely due to current pipe diameter constraints.  Another critical factor is EPNG has only recently begun re-negotiating their ROW contract with the Native American Indian tribes on whose property a majority of the north system lies.  El Paso would be cautious to put any new assets at risk until this ROW is settled.  TW settled its Navajo ROW in 2001, so we have a basis for knowing how much ROW will cost for the Project.</w:t>
      </w:r>
    </w:p>
    <w:p>
      <w:pPr>
        <w:pStyle w:val="Normal"/>
        <w:rPr/>
      </w:pPr>
      <w:r>
        <w:rPr/>
      </w:r>
    </w:p>
    <w:p>
      <w:pPr>
        <w:pStyle w:val="Normal"/>
        <w:rPr/>
      </w:pPr>
      <w:r>
        <w:rPr/>
        <w:t>In 2000, EPNG purchased the All American crude oil pipe system and converted it to natural gas service (effective August 2001).  All American roughly parallels the existing EPNG south system.  By adding compressor stations to All American, EPNG could boost capacity by as much as 500,000 MMBtu/d to the California border.  Estimated cost of this expansion is $330 million.  However, the gas source would be the Permian basin and this new capacity would not be enough to serve all the market needs.</w:t>
      </w:r>
    </w:p>
    <w:p>
      <w:pPr>
        <w:pStyle w:val="Normal"/>
        <w:rPr/>
      </w:pPr>
      <w:r>
        <w:rPr/>
      </w:r>
    </w:p>
    <w:p>
      <w:pPr>
        <w:pStyle w:val="Heading2"/>
        <w:ind w:hanging="0" w:start="0"/>
        <w:rPr/>
      </w:pPr>
      <w:r>
        <w:rPr/>
        <w:t>Sonoran</w:t>
      </w:r>
    </w:p>
    <w:p>
      <w:pPr>
        <w:pStyle w:val="Header"/>
        <w:tabs>
          <w:tab w:val="clear" w:pos="4320"/>
          <w:tab w:val="clear" w:pos="8640"/>
        </w:tabs>
        <w:rPr/>
      </w:pPr>
      <w:r>
        <w:rPr/>
        <w:t xml:space="preserve">Kinder-Morgan – KMI, with their partner Calpine, have proposed a new 750,000 MMBtu/day gas transmission system (the Sonoran Project) that parallels the existing TW system in the San Juan basin all the way to the California border at Needles (phase I).  A large portion of Sonoran Phase I literally would reside in the same Navajo ROW as TW.  Sonoran Phase II proposes to run north from Needles up to Sacramento, CA.  KMI desires to compete with the PGT system in California to meet the needs of new California electric generators.  </w:t>
      </w:r>
    </w:p>
    <w:p>
      <w:pPr>
        <w:pStyle w:val="Header"/>
        <w:tabs>
          <w:tab w:val="clear" w:pos="4320"/>
          <w:tab w:val="clear" w:pos="8640"/>
        </w:tabs>
        <w:rPr/>
      </w:pPr>
      <w:r>
        <w:rPr/>
      </w:r>
    </w:p>
    <w:p>
      <w:pPr>
        <w:pStyle w:val="Header"/>
        <w:tabs>
          <w:tab w:val="clear" w:pos="4320"/>
          <w:tab w:val="clear" w:pos="8640"/>
        </w:tabs>
        <w:rPr/>
      </w:pPr>
      <w:r>
        <w:rPr/>
        <w:t>With the currently depressed western electric market and Calpine’s recently announced cutback in new project development, it may be that this project is no longer viable.  KMI informed us they were going out for a second open season in January 2002, but to date we have not seen anything.  In addition, Williams has re-floated their Ruby Pipeline project that will compete directly with Sonoran for the northern California market.  Williams has the advantage in that they will source cheaper gas to northern California via Opal, Wyoming than will Sonoran from San Juan.</w:t>
      </w:r>
    </w:p>
    <w:p>
      <w:pPr>
        <w:pStyle w:val="Normal"/>
        <w:rPr/>
      </w:pPr>
      <w:r>
        <w:rPr/>
      </w:r>
    </w:p>
    <w:p>
      <w:pPr>
        <w:pStyle w:val="Heading2"/>
        <w:ind w:hanging="0" w:start="0"/>
        <w:rPr/>
      </w:pPr>
      <w:r>
        <w:rPr/>
        <w:t>Desert Crossing</w:t>
      </w:r>
    </w:p>
    <w:p>
      <w:pPr>
        <w:pStyle w:val="Normal"/>
        <w:rPr/>
      </w:pPr>
      <w:r>
        <w:rPr/>
        <w:t>This new 10 Bcf storage project is sponsored by Salt River Project, Sempra Energy, and Allegheny Energy.  The sponsors hope to build, based on a successful open season, a high-capacity salt dome storage cavern near Kingman, AZ.  The project would source gas via a new lateral from Kern River, and re-deliver gas to existing lines owned by TW, El Paso, PG&amp;E, So-Cal, and Questar.  They also propose to build a new 200-mile lateral south from Kingman and tie into El Paso’s south system.  The sponsors then hope to move gas both east (via displacement) and west to electric generation plants.  Storage rates are $0.19/MMBtu plus another $.24/MMBtu for pipeline transport.  The project is expected to be built in 2.5 Bcf increments.</w:t>
      </w:r>
    </w:p>
    <w:p>
      <w:pPr>
        <w:pStyle w:val="Normal"/>
        <w:rPr/>
      </w:pPr>
      <w:r>
        <w:rPr/>
      </w:r>
    </w:p>
    <w:p>
      <w:pPr>
        <w:pStyle w:val="Heading2"/>
        <w:ind w:hanging="0" w:start="0"/>
        <w:rPr/>
      </w:pPr>
      <w:r>
        <w:rPr/>
        <w:t>Copper Eagle</w:t>
      </w:r>
    </w:p>
    <w:p>
      <w:pPr>
        <w:pStyle w:val="Normal"/>
        <w:rPr/>
      </w:pPr>
      <w:r>
        <w:rPr/>
        <w:t>This 10 Bcf storage project was announced in the fall of 2000 and is located on the west side of Phoenix on a salt dome near Luke Air Force Base.  The sponsors include Arizona Public Service, Crystal Gas, and the French utility, Gaz de France.  Designed to serve the high peaking needs of Phoenix area power generators, it is proposed to be built in 2.5 Bcf increments.  Projected rates are $0.40/MMBtu plus injection and withdrawal fees.  Their issue, in addition to the brine disposal during construction, is getting pipeline capacity to fill the storage without a Phoenix area expansion project such as Sun Devil.  The sponsors expect to file their FERC application in March 2002.</w:t>
      </w:r>
    </w:p>
    <w:p>
      <w:pPr>
        <w:pStyle w:val="Normal"/>
        <w:rPr/>
      </w:pPr>
      <w:r>
        <w:rPr/>
      </w:r>
    </w:p>
    <w:p>
      <w:pPr>
        <w:pStyle w:val="Heading2"/>
        <w:ind w:hanging="0" w:start="0"/>
        <w:rPr/>
      </w:pPr>
      <w:r>
        <w:rPr/>
        <w:t>Pataya / Red Lake</w:t>
      </w:r>
    </w:p>
    <w:p>
      <w:pPr>
        <w:pStyle w:val="Normal"/>
        <w:rPr/>
      </w:pPr>
      <w:r>
        <w:rPr/>
        <w:t>This 12 Bcf storage project is proposed by SouthWest Gas and Aquila Energy.  Pataya is located in the same salt formation as Desert Crossing near Kingman.  They propose to build the facility in increments of 6 Bcf and claim to have all the necessary water and disposal permits necessary.  Pataya proposes to source and redeliver gas to TW and El Paso.</w:t>
      </w:r>
    </w:p>
    <w:p>
      <w:pPr>
        <w:pStyle w:val="Normal"/>
        <w:rPr/>
      </w:pPr>
      <w:r>
        <w:rPr/>
      </w:r>
    </w:p>
    <w:p>
      <w:pPr>
        <w:pStyle w:val="Heading1"/>
        <w:ind w:hanging="0" w:start="0"/>
        <w:rPr/>
      </w:pPr>
      <w:r>
        <w:rPr/>
        <w:t>II. D.  Gas Supply</w:t>
      </w:r>
    </w:p>
    <w:p>
      <w:pPr>
        <w:pStyle w:val="Normal"/>
        <w:rPr/>
      </w:pPr>
      <w:r>
        <w:rPr/>
        <w:t xml:space="preserve">The Sun Devil project will source gas from the prolific San Juan production basin plus use existing TW interconnects with pipelines connected to Rocky Mountain producers.  Historically, San Juan-sourced gas prices have been depressed relative to Permian gas due to the lack of San Juan transport capacity. Both TW and EPNG systems in the San Juan basin have been completely sold out for several years and maintain 95+% utilization rates.  </w:t>
      </w:r>
    </w:p>
    <w:p>
      <w:pPr>
        <w:pStyle w:val="Normal"/>
        <w:rPr/>
      </w:pPr>
      <w:r>
        <w:rPr/>
      </w:r>
    </w:p>
    <w:p>
      <w:pPr>
        <w:pStyle w:val="Normal"/>
        <w:rPr/>
      </w:pPr>
      <w:r>
        <w:rPr/>
        <w:t>San Juan and Rocky Mountain supply projections completed by a 3</w:t>
      </w:r>
      <w:r>
        <w:rPr>
          <w:vertAlign w:val="superscript"/>
        </w:rPr>
        <w:t>rd</w:t>
      </w:r>
      <w:r>
        <w:rPr/>
        <w:t xml:space="preserve"> party consultant indicate enough supply reserves exist to fill the demands of the Project.  However, there is not enough supply to fill both Sun Devil and KMI’s Sonoran project.  TW would also be able to source a small amount of incremental supply from the Panhandle or Permian basins.</w:t>
      </w:r>
    </w:p>
    <w:p>
      <w:pPr>
        <w:pStyle w:val="Normal"/>
        <w:rPr/>
      </w:pPr>
      <w:r>
        <w:rPr/>
      </w:r>
    </w:p>
    <w:p>
      <w:pPr>
        <w:pStyle w:val="Heading1"/>
        <w:ind w:hanging="0" w:start="0"/>
        <w:rPr/>
      </w:pPr>
      <w:r>
        <w:rPr/>
        <w:t>II. E.  Prospective Shippers</w:t>
      </w:r>
    </w:p>
    <w:p>
      <w:pPr>
        <w:pStyle w:val="Normal"/>
        <w:rPr/>
      </w:pPr>
      <w:r>
        <w:rPr/>
        <w:t>The table below outlines the prospective shippers for the Sun Devil project and the electric generation plants proposed or under construction.</w:t>
      </w:r>
    </w:p>
    <w:p>
      <w:pPr>
        <w:pStyle w:val="Normal"/>
        <w:rPr/>
      </w:pPr>
      <w:r>
        <w:rPr/>
      </w:r>
    </w:p>
    <w:tbl>
      <w:tblPr>
        <w:tblW w:w="10396" w:type="dxa"/>
        <w:jc w:val="start"/>
        <w:tblInd w:w="0" w:type="dxa"/>
        <w:tblLayout w:type="fixed"/>
        <w:tblCellMar>
          <w:top w:w="0" w:type="dxa"/>
          <w:start w:w="0" w:type="dxa"/>
          <w:bottom w:w="0" w:type="dxa"/>
          <w:end w:w="0" w:type="dxa"/>
        </w:tblCellMar>
      </w:tblPr>
      <w:tblGrid>
        <w:gridCol w:w="2069"/>
        <w:gridCol w:w="1927"/>
        <w:gridCol w:w="976"/>
        <w:gridCol w:w="976"/>
        <w:gridCol w:w="1776"/>
        <w:gridCol w:w="1336"/>
        <w:gridCol w:w="1336"/>
      </w:tblGrid>
      <w:tr>
        <w:trPr>
          <w:trHeight w:val="255" w:hRule="atLeast"/>
        </w:trPr>
        <w:tc>
          <w:tcPr>
            <w:tcW w:w="3996" w:type="dxa"/>
            <w:gridSpan w:val="2"/>
            <w:tcBorders/>
            <w:vAlign w:val="bottom"/>
          </w:tcPr>
          <w:p>
            <w:pPr>
              <w:pStyle w:val="Normal"/>
              <w:rPr>
                <w:rFonts w:ascii="Arial" w:hAnsi="Arial" w:eastAsia="Arial Unicode MS" w:cs="Arial"/>
                <w:b/>
                <w:bCs/>
                <w:sz w:val="20"/>
                <w:szCs w:val="20"/>
              </w:rPr>
            </w:pPr>
            <w:r>
              <w:rPr>
                <w:rFonts w:cs="Arial" w:ascii="Arial" w:hAnsi="Arial"/>
                <w:b/>
                <w:bCs/>
                <w:sz w:val="20"/>
                <w:szCs w:val="20"/>
              </w:rPr>
              <w:t>Sun Devil Power Generators</w:t>
            </w:r>
          </w:p>
        </w:tc>
        <w:tc>
          <w:tcPr>
            <w:tcW w:w="976"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33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33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069"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92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33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33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069"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92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In-Service</w:t>
            </w:r>
          </w:p>
        </w:tc>
        <w:tc>
          <w:tcPr>
            <w:tcW w:w="1776" w:type="dxa"/>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1336"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MMBtu/d</w:t>
            </w:r>
          </w:p>
        </w:tc>
        <w:tc>
          <w:tcPr>
            <w:tcW w:w="1336"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 xml:space="preserve">Sun Devil </w:t>
            </w:r>
          </w:p>
        </w:tc>
      </w:tr>
      <w:tr>
        <w:trPr>
          <w:trHeight w:val="270" w:hRule="atLeast"/>
        </w:trPr>
        <w:tc>
          <w:tcPr>
            <w:tcW w:w="2069" w:type="dxa"/>
            <w:tcBorders>
              <w:bottom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Developer</w:t>
            </w:r>
          </w:p>
        </w:tc>
        <w:tc>
          <w:tcPr>
            <w:tcW w:w="1927" w:type="dxa"/>
            <w:tcBorders>
              <w:bottom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Plant</w:t>
            </w:r>
          </w:p>
        </w:tc>
        <w:tc>
          <w:tcPr>
            <w:tcW w:w="976" w:type="dxa"/>
            <w:tcBorders>
              <w:bottom w:val="single" w:sz="8"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Cap. Mw</w:t>
            </w:r>
          </w:p>
        </w:tc>
        <w:tc>
          <w:tcPr>
            <w:tcW w:w="976" w:type="dxa"/>
            <w:tcBorders>
              <w:bottom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Date</w:t>
            </w:r>
          </w:p>
        </w:tc>
        <w:tc>
          <w:tcPr>
            <w:tcW w:w="1776" w:type="dxa"/>
            <w:tcBorders>
              <w:bottom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Status</w:t>
            </w:r>
          </w:p>
        </w:tc>
        <w:tc>
          <w:tcPr>
            <w:tcW w:w="1336" w:type="dxa"/>
            <w:tcBorders>
              <w:bottom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Gas Demand</w:t>
            </w:r>
          </w:p>
        </w:tc>
        <w:tc>
          <w:tcPr>
            <w:tcW w:w="1336" w:type="dxa"/>
            <w:tcBorders>
              <w:bottom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Est. Demand</w:t>
            </w:r>
          </w:p>
        </w:tc>
      </w:tr>
      <w:tr>
        <w:trPr>
          <w:trHeight w:val="255" w:hRule="atLeast"/>
        </w:trPr>
        <w:tc>
          <w:tcPr>
            <w:tcW w:w="2069" w:type="dxa"/>
            <w:tcBorders/>
            <w:vAlign w:val="bottom"/>
          </w:tcPr>
          <w:p>
            <w:pPr>
              <w:pStyle w:val="Normal"/>
              <w:rPr>
                <w:rFonts w:ascii="Arial" w:hAnsi="Arial" w:eastAsia="Arial Unicode MS" w:cs="Arial"/>
                <w:sz w:val="20"/>
                <w:szCs w:val="20"/>
              </w:rPr>
            </w:pPr>
            <w:r>
              <w:rPr>
                <w:rFonts w:cs="Arial" w:ascii="Arial" w:hAnsi="Arial"/>
                <w:sz w:val="20"/>
                <w:szCs w:val="20"/>
              </w:rPr>
              <w:t>AZ Public Service</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W Phoenix</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366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Old</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Operating</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97,262 </w:t>
            </w:r>
          </w:p>
        </w:tc>
        <w:tc>
          <w:tcPr>
            <w:tcW w:w="133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069" w:type="dxa"/>
            <w:tcBorders/>
            <w:vAlign w:val="bottom"/>
          </w:tcPr>
          <w:p>
            <w:pPr>
              <w:pStyle w:val="Normal"/>
              <w:rPr>
                <w:rFonts w:ascii="Arial" w:hAnsi="Arial" w:eastAsia="Arial Unicode MS" w:cs="Arial"/>
                <w:sz w:val="20"/>
                <w:szCs w:val="20"/>
              </w:rPr>
            </w:pPr>
            <w:r>
              <w:rPr>
                <w:rFonts w:cs="Arial" w:ascii="Arial" w:hAnsi="Arial"/>
                <w:sz w:val="20"/>
                <w:szCs w:val="20"/>
              </w:rPr>
              <w:t>AZ Public Service</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W Phoenix</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120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6/1/01</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Operating</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20,736 </w:t>
            </w:r>
          </w:p>
        </w:tc>
        <w:tc>
          <w:tcPr>
            <w:tcW w:w="133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069" w:type="dxa"/>
            <w:tcBorders/>
            <w:vAlign w:val="bottom"/>
          </w:tcPr>
          <w:p>
            <w:pPr>
              <w:pStyle w:val="Normal"/>
              <w:rPr>
                <w:rFonts w:ascii="Arial" w:hAnsi="Arial" w:eastAsia="Arial Unicode MS" w:cs="Arial"/>
                <w:sz w:val="20"/>
                <w:szCs w:val="20"/>
              </w:rPr>
            </w:pPr>
            <w:r>
              <w:rPr>
                <w:rFonts w:cs="Arial" w:ascii="Arial" w:hAnsi="Arial"/>
                <w:sz w:val="20"/>
                <w:szCs w:val="20"/>
              </w:rPr>
              <w:t>SRP</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Agua Fria</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600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Old</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Operating</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97,600 </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30,000 </w:t>
            </w:r>
          </w:p>
        </w:tc>
      </w:tr>
      <w:tr>
        <w:trPr>
          <w:trHeight w:val="255" w:hRule="atLeast"/>
        </w:trPr>
        <w:tc>
          <w:tcPr>
            <w:tcW w:w="2069" w:type="dxa"/>
            <w:tcBorders/>
            <w:vAlign w:val="bottom"/>
          </w:tcPr>
          <w:p>
            <w:pPr>
              <w:pStyle w:val="Normal"/>
              <w:rPr>
                <w:rFonts w:ascii="Arial" w:hAnsi="Arial" w:eastAsia="Arial Unicode MS" w:cs="Arial"/>
                <w:b/>
                <w:bCs/>
                <w:sz w:val="20"/>
                <w:szCs w:val="20"/>
              </w:rPr>
            </w:pPr>
            <w:r>
              <w:rPr>
                <w:rFonts w:cs="Arial" w:ascii="Arial" w:hAnsi="Arial"/>
                <w:b/>
                <w:bCs/>
                <w:sz w:val="20"/>
                <w:szCs w:val="20"/>
              </w:rPr>
              <w:t>Duke</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Arlington Valley</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550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6/1/02</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Under Construction</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125,000 </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50,000 </w:t>
            </w:r>
          </w:p>
        </w:tc>
      </w:tr>
      <w:tr>
        <w:trPr>
          <w:trHeight w:val="255" w:hRule="atLeast"/>
        </w:trPr>
        <w:tc>
          <w:tcPr>
            <w:tcW w:w="2069" w:type="dxa"/>
            <w:tcBorders/>
            <w:vAlign w:val="bottom"/>
          </w:tcPr>
          <w:p>
            <w:pPr>
              <w:pStyle w:val="Normal"/>
              <w:rPr>
                <w:rFonts w:ascii="Arial" w:hAnsi="Arial" w:eastAsia="Arial Unicode MS" w:cs="Arial"/>
                <w:b/>
                <w:bCs/>
                <w:sz w:val="20"/>
                <w:szCs w:val="20"/>
              </w:rPr>
            </w:pPr>
            <w:r>
              <w:rPr>
                <w:rFonts w:cs="Arial" w:ascii="Arial" w:hAnsi="Arial"/>
                <w:b/>
                <w:bCs/>
                <w:sz w:val="20"/>
                <w:szCs w:val="20"/>
              </w:rPr>
              <w:t>Pinnacle West</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Redhawk</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1,160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6/1/02</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Under Construction</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210,000 </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100,000 </w:t>
            </w:r>
          </w:p>
        </w:tc>
      </w:tr>
      <w:tr>
        <w:trPr>
          <w:trHeight w:val="255" w:hRule="atLeast"/>
        </w:trPr>
        <w:tc>
          <w:tcPr>
            <w:tcW w:w="2069" w:type="dxa"/>
            <w:tcBorders/>
            <w:vAlign w:val="bottom"/>
          </w:tcPr>
          <w:p>
            <w:pPr>
              <w:pStyle w:val="Normal"/>
              <w:rPr>
                <w:rFonts w:ascii="Arial" w:hAnsi="Arial" w:eastAsia="Arial Unicode MS" w:cs="Arial"/>
                <w:b/>
                <w:bCs/>
                <w:sz w:val="20"/>
                <w:szCs w:val="20"/>
              </w:rPr>
            </w:pPr>
            <w:r>
              <w:rPr>
                <w:rFonts w:cs="Arial" w:ascii="Arial" w:hAnsi="Arial"/>
                <w:b/>
                <w:bCs/>
                <w:sz w:val="20"/>
                <w:szCs w:val="20"/>
              </w:rPr>
              <w:t>Sempra Energy</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Mesquite</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1,300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1/1/03</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Under Construction</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220,490 </w:t>
            </w:r>
          </w:p>
        </w:tc>
        <w:tc>
          <w:tcPr>
            <w:tcW w:w="1336" w:type="dxa"/>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r>
      <w:tr>
        <w:trPr>
          <w:trHeight w:val="255" w:hRule="atLeast"/>
        </w:trPr>
        <w:tc>
          <w:tcPr>
            <w:tcW w:w="2069" w:type="dxa"/>
            <w:tcBorders/>
            <w:vAlign w:val="bottom"/>
          </w:tcPr>
          <w:p>
            <w:pPr>
              <w:pStyle w:val="Normal"/>
              <w:rPr>
                <w:rFonts w:ascii="Arial" w:hAnsi="Arial" w:eastAsia="Arial Unicode MS" w:cs="Arial"/>
                <w:b/>
                <w:bCs/>
                <w:sz w:val="20"/>
                <w:szCs w:val="20"/>
              </w:rPr>
            </w:pPr>
            <w:r>
              <w:rPr>
                <w:rFonts w:cs="Arial" w:ascii="Arial" w:hAnsi="Arial"/>
                <w:b/>
                <w:bCs/>
                <w:sz w:val="20"/>
                <w:szCs w:val="20"/>
              </w:rPr>
              <w:t>Panda Energy</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Gila Bend</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2,300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3/1/03</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Under Construction</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390,098 </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100,000 </w:t>
            </w:r>
          </w:p>
        </w:tc>
      </w:tr>
      <w:tr>
        <w:trPr>
          <w:trHeight w:val="255" w:hRule="atLeast"/>
        </w:trPr>
        <w:tc>
          <w:tcPr>
            <w:tcW w:w="2069" w:type="dxa"/>
            <w:tcBorders/>
            <w:vAlign w:val="bottom"/>
          </w:tcPr>
          <w:p>
            <w:pPr>
              <w:pStyle w:val="Normal"/>
              <w:rPr>
                <w:rFonts w:ascii="Arial" w:hAnsi="Arial" w:eastAsia="Arial Unicode MS" w:cs="Arial"/>
                <w:sz w:val="20"/>
                <w:szCs w:val="20"/>
              </w:rPr>
            </w:pPr>
            <w:r>
              <w:rPr>
                <w:rFonts w:cs="Arial" w:ascii="Arial" w:hAnsi="Arial"/>
                <w:sz w:val="20"/>
                <w:szCs w:val="20"/>
              </w:rPr>
              <w:t>PG&amp;E</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Harquahala Valley</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1,083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6/1/03</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Under Construction</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178,825 </w:t>
            </w:r>
          </w:p>
        </w:tc>
        <w:tc>
          <w:tcPr>
            <w:tcW w:w="1336" w:type="dxa"/>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r>
      <w:tr>
        <w:trPr>
          <w:trHeight w:val="255" w:hRule="atLeast"/>
        </w:trPr>
        <w:tc>
          <w:tcPr>
            <w:tcW w:w="2069" w:type="dxa"/>
            <w:tcBorders/>
            <w:vAlign w:val="bottom"/>
          </w:tcPr>
          <w:p>
            <w:pPr>
              <w:pStyle w:val="Normal"/>
              <w:rPr>
                <w:rFonts w:ascii="Arial" w:hAnsi="Arial" w:eastAsia="Arial Unicode MS" w:cs="Arial"/>
                <w:sz w:val="20"/>
                <w:szCs w:val="20"/>
              </w:rPr>
            </w:pPr>
            <w:r>
              <w:rPr>
                <w:rFonts w:cs="Arial" w:ascii="Arial" w:hAnsi="Arial"/>
                <w:sz w:val="20"/>
                <w:szCs w:val="20"/>
              </w:rPr>
              <w:t>Dynegy, Xcel, SRP</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Kyrene</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265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6/1/03</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Advanced Devlpmt</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45,315 </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20,000 </w:t>
            </w:r>
          </w:p>
        </w:tc>
      </w:tr>
      <w:tr>
        <w:trPr>
          <w:trHeight w:val="255" w:hRule="atLeast"/>
        </w:trPr>
        <w:tc>
          <w:tcPr>
            <w:tcW w:w="2069" w:type="dxa"/>
            <w:tcBorders/>
            <w:vAlign w:val="bottom"/>
          </w:tcPr>
          <w:p>
            <w:pPr>
              <w:pStyle w:val="Normal"/>
              <w:rPr>
                <w:rFonts w:ascii="Arial" w:hAnsi="Arial" w:eastAsia="Arial Unicode MS" w:cs="Arial"/>
                <w:sz w:val="20"/>
                <w:szCs w:val="20"/>
              </w:rPr>
            </w:pPr>
            <w:r>
              <w:rPr>
                <w:rFonts w:cs="Arial" w:ascii="Arial" w:hAnsi="Arial"/>
                <w:sz w:val="20"/>
                <w:szCs w:val="20"/>
              </w:rPr>
              <w:t>Pinnacle West</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West Phoenix</w:t>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500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6/1/03</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Under Construction</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86,352 </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50,000 </w:t>
            </w:r>
          </w:p>
        </w:tc>
      </w:tr>
      <w:tr>
        <w:trPr>
          <w:trHeight w:val="270" w:hRule="atLeast"/>
        </w:trPr>
        <w:tc>
          <w:tcPr>
            <w:tcW w:w="2069" w:type="dxa"/>
            <w:tcBorders/>
            <w:vAlign w:val="bottom"/>
          </w:tcPr>
          <w:p>
            <w:pPr>
              <w:pStyle w:val="Normal"/>
              <w:rPr>
                <w:rFonts w:ascii="Arial" w:hAnsi="Arial" w:eastAsia="Arial Unicode MS" w:cs="Arial"/>
                <w:b/>
                <w:bCs/>
                <w:sz w:val="20"/>
                <w:szCs w:val="20"/>
              </w:rPr>
            </w:pPr>
            <w:r>
              <w:rPr>
                <w:rFonts w:cs="Arial" w:ascii="Arial" w:hAnsi="Arial"/>
                <w:b/>
                <w:bCs/>
                <w:sz w:val="20"/>
                <w:szCs w:val="20"/>
              </w:rPr>
              <w:t>Energy Dev Group</w:t>
            </w:r>
          </w:p>
        </w:tc>
        <w:tc>
          <w:tcPr>
            <w:tcW w:w="1927" w:type="dxa"/>
            <w:tcBorders/>
            <w:vAlign w:val="bottom"/>
          </w:tcPr>
          <w:p>
            <w:pPr>
              <w:pStyle w:val="Normal"/>
              <w:rPr>
                <w:rFonts w:ascii="Arial" w:hAnsi="Arial" w:eastAsia="Arial Unicode MS" w:cs="Arial"/>
                <w:sz w:val="20"/>
                <w:szCs w:val="20"/>
              </w:rPr>
            </w:pPr>
            <w:r>
              <w:rPr>
                <w:rFonts w:cs="Arial" w:ascii="Arial" w:hAnsi="Arial"/>
                <w:sz w:val="20"/>
                <w:szCs w:val="20"/>
              </w:rPr>
              <w:t>Gallup</w:t>
            </w:r>
          </w:p>
        </w:tc>
        <w:tc>
          <w:tcPr>
            <w:tcW w:w="976" w:type="dxa"/>
            <w:tcBorders>
              <w:bottom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1,200 </w:t>
            </w:r>
          </w:p>
        </w:tc>
        <w:tc>
          <w:tcPr>
            <w:tcW w:w="976" w:type="dxa"/>
            <w:tcBorders/>
            <w:vAlign w:val="bottom"/>
          </w:tcPr>
          <w:p>
            <w:pPr>
              <w:pStyle w:val="Normal"/>
              <w:jc w:val="center"/>
              <w:rPr>
                <w:rFonts w:ascii="Arial" w:hAnsi="Arial" w:eastAsia="Arial Unicode MS" w:cs="Arial"/>
                <w:sz w:val="20"/>
                <w:szCs w:val="20"/>
              </w:rPr>
            </w:pPr>
            <w:r>
              <w:rPr>
                <w:rFonts w:cs="Arial" w:ascii="Arial" w:hAnsi="Arial"/>
                <w:sz w:val="20"/>
                <w:szCs w:val="20"/>
              </w:rPr>
              <w:t>7/1/04</w:t>
            </w:r>
          </w:p>
        </w:tc>
        <w:tc>
          <w:tcPr>
            <w:tcW w:w="1776" w:type="dxa"/>
            <w:tcBorders/>
            <w:vAlign w:val="bottom"/>
          </w:tcPr>
          <w:p>
            <w:pPr>
              <w:pStyle w:val="Normal"/>
              <w:jc w:val="center"/>
              <w:rPr>
                <w:rFonts w:ascii="Arial" w:hAnsi="Arial" w:eastAsia="Arial Unicode MS" w:cs="Arial"/>
                <w:sz w:val="20"/>
                <w:szCs w:val="20"/>
              </w:rPr>
            </w:pPr>
            <w:r>
              <w:rPr>
                <w:rFonts w:cs="Arial" w:ascii="Arial" w:hAnsi="Arial"/>
                <w:sz w:val="20"/>
                <w:szCs w:val="20"/>
              </w:rPr>
              <w:t>Early Development</w:t>
            </w:r>
          </w:p>
        </w:tc>
        <w:tc>
          <w:tcPr>
            <w:tcW w:w="1336" w:type="dxa"/>
            <w:tcBorders>
              <w:bottom w:val="single" w:sz="8"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216,000 </w:t>
            </w:r>
          </w:p>
        </w:tc>
        <w:tc>
          <w:tcPr>
            <w:tcW w:w="1336" w:type="dxa"/>
            <w:tcBorders>
              <w:bottom w:val="single" w:sz="8"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216,000 </w:t>
            </w:r>
          </w:p>
        </w:tc>
      </w:tr>
      <w:tr>
        <w:trPr>
          <w:trHeight w:val="255" w:hRule="atLeast"/>
        </w:trPr>
        <w:tc>
          <w:tcPr>
            <w:tcW w:w="2069"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92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9,444 </w:t>
            </w:r>
          </w:p>
        </w:tc>
        <w:tc>
          <w:tcPr>
            <w:tcW w:w="976"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1776" w:type="dxa"/>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1,687,678 </w:t>
            </w:r>
          </w:p>
        </w:tc>
        <w:tc>
          <w:tcPr>
            <w:tcW w:w="1336"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566,000 </w:t>
            </w:r>
          </w:p>
        </w:tc>
      </w:tr>
    </w:tbl>
    <w:p>
      <w:pPr>
        <w:pStyle w:val="Normal"/>
        <w:rPr/>
      </w:pPr>
      <w:r>
        <w:rPr/>
      </w:r>
    </w:p>
    <w:p>
      <w:pPr>
        <w:pStyle w:val="Header"/>
        <w:tabs>
          <w:tab w:val="clear" w:pos="4320"/>
          <w:tab w:val="clear" w:pos="8640"/>
        </w:tabs>
        <w:rPr/>
      </w:pPr>
      <w:r>
        <w:rPr/>
      </w:r>
    </w:p>
    <w:p>
      <w:pPr>
        <w:pStyle w:val="Normal"/>
        <w:rPr>
          <w:b/>
          <w:bCs/>
        </w:rPr>
      </w:pPr>
      <w:r>
        <w:rPr>
          <w:b/>
          <w:bCs/>
        </w:rPr>
        <w:t>III. Project Economics</w:t>
      </w:r>
    </w:p>
    <w:p>
      <w:pPr>
        <w:pStyle w:val="Normal"/>
        <w:rPr>
          <w:b/>
          <w:bCs/>
        </w:rPr>
      </w:pPr>
      <w:r>
        <w:rPr>
          <w:b/>
          <w:bCs/>
        </w:rPr>
      </w:r>
    </w:p>
    <w:p>
      <w:pPr>
        <w:pStyle w:val="Normal"/>
        <w:rPr>
          <w:b/>
          <w:bCs/>
        </w:rPr>
      </w:pPr>
      <w:r>
        <w:rPr>
          <w:b/>
          <w:bCs/>
        </w:rPr>
        <w:t>III. A. Assumptions</w:t>
      </w:r>
    </w:p>
    <w:p>
      <w:pPr>
        <w:pStyle w:val="Normal"/>
        <w:rPr/>
      </w:pPr>
      <w:r>
        <w:rPr/>
        <w:t>The project assumes a 15% return on equity using an 80/20 debt/equity structure on a $911million capital cost.  Debt interest rate is estimated at 7.5% with an economic project life of 30 years and 100% load factor.  Fuel is estimated at the current TW fuel rate of 4.75% for the first few years of the project life then converting to a fuel tracker with the next TW rate case in 2006.  O&amp;M expense escalates at 3% per annum.  Near worst-case scenarios for ROW acquisition have been used considering the 220 miles of construction through Native American tribal lands.  This assumption is valid considering TW’s recent re-negotiation of Tribal ROW.  The rate schedule below is based on levelized assumptions for the various terms:</w:t>
      </w:r>
    </w:p>
    <w:p>
      <w:pPr>
        <w:pStyle w:val="Normal"/>
        <w:rPr>
          <w:sz w:val="20"/>
          <w:lang w:val="en-CA" w:eastAsia="en-CA"/>
        </w:rPr>
      </w:pPr>
      <w:r>
        <w:rPr>
          <w:sz w:val="20"/>
          <w:lang w:val="en-CA" w:eastAsia="en-CA"/>
        </w:rPr>
        <w:drawing>
          <wp:anchor behindDoc="0" distT="0" distB="0" distL="114935" distR="114935" simplePos="0" locked="0" layoutInCell="1" allowOverlap="1" relativeHeight="2">
            <wp:simplePos x="0" y="0"/>
            <wp:positionH relativeFrom="column">
              <wp:posOffset>1600200</wp:posOffset>
            </wp:positionH>
            <wp:positionV relativeFrom="paragraph">
              <wp:posOffset>152400</wp:posOffset>
            </wp:positionV>
            <wp:extent cx="3314700" cy="13970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9" t="-43" r="-9" b="-43"/>
                    <a:stretch>
                      <a:fillRect/>
                    </a:stretch>
                  </pic:blipFill>
                  <pic:spPr bwMode="auto">
                    <a:xfrm>
                      <a:off x="0" y="0"/>
                      <a:ext cx="3314700" cy="13970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IV. Project Cost</w:t>
      </w:r>
    </w:p>
    <w:p>
      <w:pPr>
        <w:pStyle w:val="Normal"/>
        <w:rPr>
          <w:b/>
          <w:bCs/>
        </w:rPr>
      </w:pPr>
      <w:r>
        <w:rPr>
          <w:b/>
          <w:bCs/>
        </w:rPr>
      </w:r>
    </w:p>
    <w:p>
      <w:pPr>
        <w:pStyle w:val="Normal"/>
        <w:rPr>
          <w:b/>
          <w:bCs/>
        </w:rPr>
      </w:pPr>
      <w:r>
        <w:rPr>
          <w:b/>
          <w:bCs/>
        </w:rPr>
        <w:t>IV. A. Engineering</w:t>
      </w:r>
    </w:p>
    <w:p>
      <w:pPr>
        <w:pStyle w:val="Normal"/>
        <w:rPr/>
      </w:pPr>
      <w:r>
        <w:rPr/>
        <w:t>The project cost estimate is based on 2001 dollars and is escalated for inflation to the time period when construction will begin.  The estimate is considered a “Level A+” estimate that, barring unforeseen issues, should not increase any higher.  For a more detailed and exacting Level B estimate, additional development monies would need to be spent.  Below is a description by pipe segment of the facilities required:</w:t>
      </w:r>
    </w:p>
    <w:p>
      <w:pPr>
        <w:pStyle w:val="Normal"/>
        <w:rPr/>
      </w:pPr>
      <w:r>
        <w:rPr/>
      </w:r>
    </w:p>
    <w:p>
      <w:pPr>
        <w:pStyle w:val="Normal"/>
        <w:rPr>
          <w:rFonts w:eastAsia="Arial Unicode MS"/>
          <w:color w:val="000000"/>
        </w:rPr>
      </w:pPr>
      <w:r>
        <w:rPr>
          <w:color w:val="FF9900"/>
        </w:rPr>
        <w:t>•</w:t>
      </w:r>
      <w:r>
        <w:rPr>
          <w:color w:val="000000"/>
        </w:rPr>
        <w:t>San Juan lateral – 780,000 MMBtu/d</w:t>
      </w:r>
    </w:p>
    <w:p>
      <w:pPr>
        <w:pStyle w:val="Normal"/>
        <w:ind w:firstLine="720" w:end="0"/>
        <w:rPr/>
      </w:pPr>
      <w:r>
        <w:rPr>
          <w:color w:val="FF9900"/>
          <w:szCs w:val="20"/>
        </w:rPr>
        <w:t>–</w:t>
      </w:r>
      <w:r>
        <w:rPr>
          <w:color w:val="000000"/>
          <w:szCs w:val="20"/>
        </w:rPr>
        <w:t>97 miles of 36” loop</w:t>
      </w:r>
    </w:p>
    <w:p>
      <w:pPr>
        <w:pStyle w:val="Normal"/>
        <w:ind w:firstLine="720" w:end="0"/>
        <w:rPr/>
      </w:pPr>
      <w:r>
        <w:rPr>
          <w:color w:val="FF9900"/>
          <w:szCs w:val="20"/>
        </w:rPr>
        <w:t>–</w:t>
      </w:r>
      <w:r>
        <w:rPr>
          <w:color w:val="000000"/>
          <w:szCs w:val="20"/>
        </w:rPr>
        <w:t>Standing Rock compressor station</w:t>
        <w:tab/>
      </w:r>
    </w:p>
    <w:p>
      <w:pPr>
        <w:pStyle w:val="Normal"/>
        <w:ind w:firstLine="720" w:end="0"/>
        <w:rPr/>
      </w:pPr>
      <w:r>
        <w:rPr>
          <w:color w:val="FF9900"/>
          <w:szCs w:val="20"/>
        </w:rPr>
        <w:t>–</w:t>
      </w:r>
      <w:r>
        <w:rPr>
          <w:color w:val="000000"/>
          <w:szCs w:val="20"/>
        </w:rPr>
        <w:t>Compressor mods at Bloomfield, Bisti, and Gallup</w:t>
      </w:r>
    </w:p>
    <w:p>
      <w:pPr>
        <w:pStyle w:val="Normal"/>
        <w:rPr/>
      </w:pPr>
      <w:r>
        <w:rPr>
          <w:color w:val="FF9900"/>
        </w:rPr>
        <w:t>•</w:t>
      </w:r>
      <w:r>
        <w:rPr>
          <w:color w:val="000000"/>
        </w:rPr>
        <w:t>Mainline  – 810,000 MMBtu/d</w:t>
      </w:r>
    </w:p>
    <w:p>
      <w:pPr>
        <w:pStyle w:val="Normal"/>
        <w:ind w:firstLine="720" w:end="0"/>
        <w:rPr/>
      </w:pPr>
      <w:r>
        <w:rPr>
          <w:color w:val="FF9900"/>
          <w:szCs w:val="20"/>
        </w:rPr>
        <w:t>–</w:t>
      </w:r>
      <w:r>
        <w:rPr>
          <w:color w:val="000000"/>
          <w:szCs w:val="20"/>
        </w:rPr>
        <w:t>224 miles of 36” loop</w:t>
      </w:r>
    </w:p>
    <w:p>
      <w:pPr>
        <w:pStyle w:val="Normal"/>
        <w:ind w:firstLine="720" w:end="0"/>
        <w:rPr/>
      </w:pPr>
      <w:r>
        <w:rPr>
          <w:color w:val="FF9900"/>
          <w:szCs w:val="20"/>
        </w:rPr>
        <w:t>–</w:t>
      </w:r>
      <w:r>
        <w:rPr>
          <w:color w:val="000000"/>
          <w:szCs w:val="20"/>
        </w:rPr>
        <w:t>New compressor at station 4, 1.5, and Kingman</w:t>
      </w:r>
    </w:p>
    <w:p>
      <w:pPr>
        <w:pStyle w:val="Normal"/>
        <w:ind w:firstLine="720" w:end="0"/>
        <w:rPr/>
      </w:pPr>
      <w:r>
        <w:rPr>
          <w:color w:val="FF9900"/>
          <w:szCs w:val="20"/>
        </w:rPr>
        <w:t>–</w:t>
      </w:r>
      <w:r>
        <w:rPr>
          <w:color w:val="000000"/>
          <w:szCs w:val="20"/>
        </w:rPr>
        <w:t>Compressor mods at stations 2 and 3</w:t>
      </w:r>
    </w:p>
    <w:p>
      <w:pPr>
        <w:pStyle w:val="Normal"/>
        <w:rPr/>
      </w:pPr>
      <w:r>
        <w:rPr>
          <w:color w:val="FF9900"/>
        </w:rPr>
        <w:t>•</w:t>
      </w:r>
      <w:r>
        <w:rPr>
          <w:color w:val="000000"/>
        </w:rPr>
        <w:t>New Phoenix lateral  - 500,000 MMBtu/d</w:t>
      </w:r>
    </w:p>
    <w:p>
      <w:pPr>
        <w:pStyle w:val="Normal"/>
        <w:ind w:firstLine="720" w:end="0"/>
        <w:rPr/>
      </w:pPr>
      <w:r>
        <w:rPr>
          <w:color w:val="FF9900"/>
          <w:szCs w:val="20"/>
        </w:rPr>
        <w:t>–</w:t>
      </w:r>
      <w:r>
        <w:rPr>
          <w:color w:val="000000"/>
          <w:szCs w:val="20"/>
        </w:rPr>
        <w:t>168.8 miles of 36” line, no compression</w:t>
      </w:r>
    </w:p>
    <w:p>
      <w:pPr>
        <w:pStyle w:val="Normal"/>
        <w:ind w:firstLine="720" w:end="0"/>
        <w:rPr/>
      </w:pPr>
      <w:r>
        <w:rPr>
          <w:color w:val="FF9900"/>
          <w:szCs w:val="20"/>
        </w:rPr>
        <w:t>–</w:t>
      </w:r>
      <w:r>
        <w:rPr>
          <w:color w:val="000000"/>
          <w:szCs w:val="20"/>
        </w:rPr>
        <w:t>Delivers to Copper Eagle storage, Panda lateral from El Paso south system</w:t>
      </w:r>
    </w:p>
    <w:p>
      <w:pPr>
        <w:pStyle w:val="Normal"/>
        <w:ind w:firstLine="720" w:end="0"/>
        <w:rPr>
          <w:color w:val="000000"/>
          <w:szCs w:val="20"/>
        </w:rPr>
      </w:pPr>
      <w:r>
        <w:rPr>
          <w:color w:val="000000"/>
          <w:szCs w:val="20"/>
        </w:rPr>
      </w:r>
    </w:p>
    <w:p>
      <w:pPr>
        <w:pStyle w:val="Normal"/>
        <w:rPr/>
      </w:pPr>
      <w:r>
        <w:object w:dxaOrig="5935" w:dyaOrig="2806">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36pt;margin-top:18pt;width:282pt;height:117pt;mso-wrap-distance-left:9.05pt;mso-wrap-distance-right:9.05pt;mso-position-horizontal-relative:text;mso-position-vertical-relative:text" filled="f" o:ole="">
            <v:imagedata r:id="rId6" o:title=""/>
            <w10:wrap type="topAndBottom"/>
          </v:shape>
          <o:OLEObject Type="Embed" ProgID="Excel.Sheet.12" ShapeID="ole_rId5" DrawAspect="Content" ObjectID="_465149827" r:id="rId5"/>
        </w:object>
      </w:r>
      <w:r>
        <w:rPr/>
        <w:t>Sun Devil Project Costs:</w:t>
      </w:r>
    </w:p>
    <w:p>
      <w:pPr>
        <w:pStyle w:val="Normal"/>
        <w:rPr/>
      </w:pPr>
      <w:r>
        <w:rPr/>
      </w:r>
    </w:p>
    <w:p>
      <w:pPr>
        <w:pStyle w:val="Header"/>
        <w:tabs>
          <w:tab w:val="clear" w:pos="4320"/>
          <w:tab w:val="clear" w:pos="8640"/>
        </w:tabs>
        <w:rPr/>
      </w:pPr>
      <w:r>
        <w:rPr/>
      </w:r>
    </w:p>
    <w:p>
      <w:pPr>
        <w:pStyle w:val="Normal"/>
        <w:rPr/>
      </w:pPr>
      <w:r>
        <w:rPr/>
      </w:r>
    </w:p>
    <w:p>
      <w:pPr>
        <w:pStyle w:val="Heading1"/>
        <w:ind w:hanging="0" w:start="0"/>
        <w:rPr/>
      </w:pPr>
      <w:r>
        <w:rPr/>
        <w:t>IV. B. Environmental</w:t>
      </w:r>
    </w:p>
    <w:p>
      <w:pPr>
        <w:pStyle w:val="Normal"/>
        <w:rPr/>
      </w:pPr>
      <w:r>
        <w:rPr/>
        <w:t>Third-party contractors were commissioned to perform an initial site survey along the proposed ROW path.  Inquiries were made to local state agencies and conservation groups; no material “deal-killer” issues were discovered.</w:t>
      </w:r>
    </w:p>
    <w:p>
      <w:pPr>
        <w:pStyle w:val="Normal"/>
        <w:rPr/>
      </w:pPr>
      <w:r>
        <w:rPr/>
      </w:r>
    </w:p>
    <w:p>
      <w:pPr>
        <w:pStyle w:val="Normal"/>
        <w:rPr/>
      </w:pPr>
      <w:r>
        <w:rPr/>
      </w:r>
    </w:p>
    <w:p>
      <w:pPr>
        <w:pStyle w:val="Heading1"/>
        <w:ind w:hanging="0" w:start="0"/>
        <w:rPr/>
      </w:pPr>
      <w:r>
        <w:rPr/>
        <w:t>V. Regulatory</w:t>
      </w:r>
    </w:p>
    <w:p>
      <w:pPr>
        <w:pStyle w:val="Normal"/>
        <w:rPr/>
      </w:pPr>
      <w:r>
        <w:rPr/>
        <w:t>A budget has been established for costs necessary to get the Sun Devil project application filed with the Federal Energy Regulatory Commission.  The $8,750,000 budget includes costs for regulatory filing, right-of-way due diligence, field surveys, aerial photography, environmental due diligence, and project engineering.</w:t>
      </w:r>
    </w:p>
    <w:p>
      <w:pPr>
        <w:pStyle w:val="Normal"/>
        <w:rPr/>
      </w:pPr>
      <w:r>
        <w:rPr/>
      </w:r>
    </w:p>
    <w:p>
      <w:pPr>
        <w:pStyle w:val="Normal"/>
        <w:rPr/>
      </w:pPr>
      <w:r>
        <w:rPr/>
      </w:r>
    </w:p>
    <w:p>
      <w:pPr>
        <w:pStyle w:val="Heading1"/>
        <w:ind w:hanging="0" w:start="0"/>
        <w:rPr/>
      </w:pPr>
      <w:r>
        <w:rPr/>
        <w:t>VI. Administration</w:t>
      </w:r>
    </w:p>
    <w:p>
      <w:pPr>
        <w:pStyle w:val="Normal"/>
        <w:rPr/>
      </w:pPr>
      <w:r>
        <w:rPr/>
        <w:tab/>
        <w:t>Team Members (see attached page)</w:t>
      </w:r>
    </w:p>
    <w:p>
      <w:pPr>
        <w:pStyle w:val="Normal"/>
        <w:rPr/>
      </w:pPr>
      <w:r>
        <w:rPr/>
      </w:r>
    </w:p>
    <w:p>
      <w:pPr>
        <w:pStyle w:val="Normal"/>
        <w:rPr/>
      </w:pPr>
      <w:r>
        <w:rPr/>
        <w:tab/>
        <w:t>Project costs spent as of January 22, 2002 equal $100,976.70 of $200,000 budget.</w:t>
      </w:r>
    </w:p>
    <w:p>
      <w:pPr>
        <w:pStyle w:val="Normal"/>
        <w:rPr/>
      </w:pPr>
      <w:r>
        <w:rPr/>
      </w:r>
    </w:p>
    <w:p>
      <w:pPr>
        <w:pStyle w:val="Normal"/>
        <w:rPr/>
      </w:pPr>
      <w:r>
        <w:rPr/>
        <w:tab/>
        <w:t>File directory (see attached page)</w:t>
      </w:r>
    </w:p>
    <w:p>
      <w:pPr>
        <w:pStyle w:val="Normal"/>
        <w:rPr>
          <w:rFonts w:ascii="Arial Unicode MS" w:hAnsi="Arial Unicode MS" w:cs="Arial Unicode MS"/>
          <w:vanish/>
          <w:color w:val="000000"/>
        </w:rPr>
      </w:pPr>
      <w:r>
        <w:rPr>
          <w:rFonts w:cs="Arial Unicode MS" w:ascii="Arial Unicode MS" w:hAnsi="Arial Unicode MS"/>
          <w:vanish/>
          <w:color w:val="000000"/>
        </w:rPr>
      </w:r>
    </w:p>
    <w:p>
      <w:pPr>
        <w:pStyle w:val="Normal"/>
        <w:rPr>
          <w:rFonts w:ascii="Arial Unicode MS" w:hAnsi="Arial Unicode MS" w:cs="Arial Unicode MS"/>
          <w:vanish/>
          <w:color w:val="000000"/>
        </w:rPr>
      </w:pPr>
      <w:r>
        <w:rPr>
          <w:rFonts w:cs="Arial Unicode MS" w:ascii="Arial Unicode MS" w:hAnsi="Arial Unicode MS"/>
          <w:vanish/>
          <w:color w:val="000000"/>
        </w:rPr>
      </w:r>
    </w:p>
    <w:sectPr>
      <w:headerReference w:type="default" r:id="rId7"/>
      <w:footerReference w:type="default" r:id="rId8"/>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Jkh:Sun Devil summary</w:t>
      <w:tab/>
      <w:t xml:space="preserve">Page </w:t>
    </w:r>
    <w:r>
      <w:rPr>
        <w:sz w:val="20"/>
      </w:rPr>
      <w:fldChar w:fldCharType="begin"/>
    </w:r>
    <w:r>
      <w:rPr>
        <w:sz w:val="20"/>
      </w:rPr>
      <w:instrText xml:space="preserve"> PAGE </w:instrText>
    </w:r>
    <w:r>
      <w:rPr>
        <w:sz w:val="20"/>
      </w:rPr>
      <w:fldChar w:fldCharType="separate"/>
    </w:r>
    <w:r>
      <w:rPr>
        <w:sz w:val="20"/>
      </w:rPr>
      <w:t>7</w:t>
    </w:r>
    <w:r>
      <w:rPr>
        <w:sz w:val="20"/>
      </w:rPr>
      <w:fldChar w:fldCharType="end"/>
    </w:r>
    <w:r>
      <w:rPr>
        <w:sz w:val="20"/>
      </w:rPr>
      <w:t xml:space="preserve"> of </w:t>
    </w:r>
    <w:r>
      <w:rPr>
        <w:sz w:val="20"/>
      </w:rPr>
      <w:fldChar w:fldCharType="begin"/>
    </w:r>
    <w:r>
      <w:rPr>
        <w:sz w:val="20"/>
      </w:rPr>
      <w:instrText xml:space="preserve"> NUMPAGES \* ARABIC </w:instrText>
    </w:r>
    <w:r>
      <w:rPr>
        <w:sz w:val="20"/>
      </w:rPr>
      <w:fldChar w:fldCharType="separate"/>
    </w:r>
    <w:r>
      <w:rPr>
        <w:sz w:val="20"/>
      </w:rPr>
      <w:t>7</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iCs/>
      </w:rPr>
    </w:pPr>
    <w:r>
      <w:rPr>
        <w:i/>
        <w:iCs/>
      </w:rPr>
      <w:t>Proprietary 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i/>
      <w:iCs/>
    </w:rPr>
  </w:style>
  <w:style w:type="character" w:styleId="WW8NumSt1z0">
    <w:name w:val="WW8NumSt1z0"/>
    <w:qFormat/>
    <w:rPr>
      <w:rFonts w:ascii="Arial" w:hAnsi="Arial" w:cs="Arial"/>
      <w:sz w:val="48"/>
    </w:rPr>
  </w:style>
  <w:style w:type="character" w:styleId="WW8NumSt2z0">
    <w:name w:val="WW8NumSt2z0"/>
    <w:qFormat/>
    <w:rPr>
      <w:rFonts w:ascii="Arial" w:hAnsi="Arial" w:cs="Arial"/>
      <w:sz w:val="40"/>
    </w:rPr>
  </w:style>
  <w:style w:type="character" w:styleId="DefaultParagraphFont">
    <w:name w:val="Default Paragraph Font"/>
    <w:qFormat/>
    <w:rPr/>
  </w:style>
  <w:style w:type="paragraph" w:styleId="Heading">
    <w:name w:val="Heading"/>
    <w:basedOn w:val="Normal"/>
    <w:next w:val="BodyText"/>
    <w:qFormat/>
    <w:pPr>
      <w:jc w:val="center"/>
    </w:pPr>
    <w:rPr>
      <w:b/>
      <w:bCs/>
      <w:i/>
      <w:i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xl24">
    <w:name w:val="xl24"/>
    <w:basedOn w:val="Normal"/>
    <w:qFormat/>
    <w:pPr>
      <w:pBdr>
        <w:left w:val="single" w:sz="8" w:space="0" w:color="000000"/>
      </w:pBdr>
      <w:spacing w:before="100" w:after="100"/>
    </w:pPr>
    <w:rPr>
      <w:rFonts w:ascii="Arial" w:hAnsi="Arial" w:eastAsia="Arial Unicode MS" w:cs="Arial"/>
      <w:b/>
      <w:bCs/>
    </w:rPr>
  </w:style>
  <w:style w:type="paragraph" w:styleId="xl25">
    <w:name w:val="xl25"/>
    <w:basedOn w:val="Normal"/>
    <w:qFormat/>
    <w:pPr>
      <w:spacing w:before="100" w:after="100"/>
      <w:jc w:val="center"/>
    </w:pPr>
    <w:rPr>
      <w:rFonts w:ascii="Arial" w:hAnsi="Arial" w:eastAsia="Arial Unicode MS" w:cs="Arial"/>
      <w:u w:val="single"/>
    </w:rPr>
  </w:style>
  <w:style w:type="paragraph" w:styleId="xl26">
    <w:name w:val="xl26"/>
    <w:basedOn w:val="Normal"/>
    <w:qFormat/>
    <w:pPr>
      <w:pBdr>
        <w:left w:val="single" w:sz="8" w:space="0" w:color="000000"/>
      </w:pBdr>
      <w:spacing w:before="100" w:after="100"/>
    </w:pPr>
    <w:rPr>
      <w:rFonts w:ascii="Arial Unicode MS" w:hAnsi="Arial Unicode MS" w:eastAsia="Arial Unicode MS" w:cs="Arial Unicode MS"/>
    </w:rPr>
  </w:style>
  <w:style w:type="paragraph" w:styleId="xl28">
    <w:name w:val="xl28"/>
    <w:basedOn w:val="Normal"/>
    <w:qFormat/>
    <w:pPr>
      <w:pBdr>
        <w:right w:val="single" w:sz="8" w:space="0" w:color="000000"/>
      </w:pBdr>
      <w:spacing w:before="100" w:after="100"/>
    </w:pPr>
    <w:rPr>
      <w:rFonts w:ascii="Arial Unicode MS" w:hAnsi="Arial Unicode MS" w:eastAsia="Arial Unicode MS" w:cs="Arial Unicode MS"/>
    </w:rPr>
  </w:style>
  <w:style w:type="paragraph" w:styleId="xl30">
    <w:name w:val="xl30"/>
    <w:basedOn w:val="Normal"/>
    <w:qFormat/>
    <w:pPr>
      <w:spacing w:before="100" w:after="100"/>
    </w:pPr>
    <w:rPr>
      <w:rFonts w:ascii="Arial" w:hAnsi="Arial" w:eastAsia="Arial Unicode MS" w:cs="Arial"/>
      <w:u w:val="single"/>
    </w:rPr>
  </w:style>
  <w:style w:type="paragraph" w:styleId="xl32">
    <w:name w:val="xl32"/>
    <w:basedOn w:val="Normal"/>
    <w:qFormat/>
    <w:pPr>
      <w:pBdr>
        <w:right w:val="single" w:sz="8" w:space="0" w:color="000000"/>
      </w:pBdr>
      <w:spacing w:before="100" w:after="100"/>
    </w:pPr>
    <w:rPr>
      <w:rFonts w:ascii="Arial Unicode MS" w:hAnsi="Arial Unicode MS" w:eastAsia="Arial Unicode MS" w:cs="Arial Unicode MS"/>
    </w:rPr>
  </w:style>
  <w:style w:type="paragraph" w:styleId="xl37">
    <w:name w:val="xl37"/>
    <w:basedOn w:val="Normal"/>
    <w:qFormat/>
    <w:pPr>
      <w:pBdr>
        <w:bottom w:val="single" w:sz="8" w:space="0" w:color="000000"/>
      </w:pBdr>
      <w:spacing w:before="100" w:after="100"/>
    </w:pPr>
    <w:rPr>
      <w:rFonts w:ascii="Arial Unicode MS" w:hAnsi="Arial Unicode MS" w:eastAsia="Arial Unicode MS" w:cs="Arial Unicode MS"/>
    </w:rPr>
  </w:style>
  <w:style w:type="paragraph" w:styleId="xl38">
    <w:name w:val="xl38"/>
    <w:basedOn w:val="Normal"/>
    <w:qFormat/>
    <w:pPr>
      <w:pBdr>
        <w:bottom w:val="single" w:sz="8" w:space="0" w:color="000000"/>
        <w:right w:val="single" w:sz="8" w:space="0" w:color="000000"/>
      </w:pBdr>
      <w:spacing w:before="100" w:after="100"/>
    </w:pPr>
    <w:rPr>
      <w:rFonts w:ascii="Arial Unicode MS" w:hAnsi="Arial Unicode MS" w:eastAsia="Arial Unicode MS" w:cs="Arial Unicode MS"/>
    </w:rPr>
  </w:style>
  <w:style w:type="paragraph" w:styleId="xl40">
    <w:name w:val="xl40"/>
    <w:basedOn w:val="Normal"/>
    <w:qFormat/>
    <w:pPr>
      <w:pBdr>
        <w:bottom w:val="single" w:sz="4" w:space="0" w:color="000000"/>
      </w:pBdr>
      <w:spacing w:before="100" w:after="100"/>
    </w:pPr>
    <w:rPr>
      <w:rFonts w:ascii="Arial Unicode MS" w:hAnsi="Arial Unicode MS" w:eastAsia="Arial Unicode MS" w:cs="Arial Unicode MS"/>
    </w:rPr>
  </w:style>
  <w:style w:type="paragraph" w:styleId="xl42">
    <w:name w:val="xl42"/>
    <w:basedOn w:val="Normal"/>
    <w:qFormat/>
    <w:pPr>
      <w:spacing w:before="100" w:after="100"/>
    </w:pPr>
    <w:rPr>
      <w:rFonts w:ascii="Arial" w:hAnsi="Arial" w:eastAsia="Arial Unicode MS" w:cs="Arial"/>
      <w:u w:val="single"/>
    </w:rPr>
  </w:style>
  <w:style w:type="paragraph" w:styleId="xl44">
    <w:name w:val="xl44"/>
    <w:basedOn w:val="Normal"/>
    <w:qFormat/>
    <w:pPr>
      <w:pBdr>
        <w:top w:val="single" w:sz="8" w:space="0" w:color="000000"/>
        <w:right w:val="single" w:sz="8" w:space="0" w:color="000000"/>
      </w:pBdr>
      <w:spacing w:before="100" w:after="100"/>
    </w:pPr>
    <w:rPr>
      <w:rFonts w:ascii="Arial" w:hAnsi="Arial" w:eastAsia="Arial Unicode MS" w:cs="Arial"/>
      <w:b/>
      <w:bCs/>
    </w:rPr>
  </w:style>
  <w:style w:type="paragraph" w:styleId="xl45">
    <w:name w:val="xl45"/>
    <w:basedOn w:val="Normal"/>
    <w:qFormat/>
    <w:pPr>
      <w:spacing w:before="100" w:after="100"/>
      <w:jc w:val="center"/>
    </w:pPr>
    <w:rPr>
      <w:rFonts w:ascii="Arial" w:hAnsi="Arial" w:eastAsia="Arial Unicode MS" w:cs="Arial"/>
      <w:b/>
      <w:bCs/>
      <w:u w:val="single"/>
    </w:rPr>
  </w:style>
  <w:style w:type="paragraph" w:styleId="xl46">
    <w:name w:val="xl46"/>
    <w:basedOn w:val="Normal"/>
    <w:qFormat/>
    <w:pPr>
      <w:spacing w:before="100" w:after="100"/>
      <w:jc w:val="center"/>
    </w:pPr>
    <w:rPr>
      <w:rFonts w:ascii="Arial" w:hAnsi="Arial" w:eastAsia="Arial Unicode MS" w:cs="Arial"/>
      <w:b/>
      <w:bCs/>
      <w:u w:val="single"/>
    </w:rPr>
  </w:style>
  <w:style w:type="paragraph" w:styleId="xl47">
    <w:name w:val="xl47"/>
    <w:basedOn w:val="Normal"/>
    <w:qFormat/>
    <w:pPr>
      <w:pBdr>
        <w:right w:val="single" w:sz="8" w:space="0" w:color="000000"/>
      </w:pBdr>
      <w:spacing w:before="100" w:after="100"/>
      <w:jc w:val="center"/>
    </w:pPr>
    <w:rPr>
      <w:rFonts w:ascii="Arial" w:hAnsi="Arial" w:eastAsia="Arial Unicode MS" w:cs="Arial"/>
      <w:b/>
      <w:bCs/>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package" Target="embeddings/oleObject2.xlsx"/><Relationship Id="rId6" Type="http://schemas.openxmlformats.org/officeDocument/2006/relationships/image" Target="media/image3.wmf"/><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2001-12-06T17:23:00Z</dcterms:created>
  <dc:creator>khyatt</dc:creator>
  <dc:description/>
  <dc:language>en-CA</dc:language>
  <cp:lastModifiedBy>khyatt</cp:lastModifiedBy>
  <cp:lastPrinted>2002-01-25T12:18:00Z</cp:lastPrinted>
  <dcterms:modified xsi:type="dcterms:W3CDTF">2002-01-25T16:38:00Z</dcterms:modified>
  <cp:revision>34</cp:revision>
  <dc:subject/>
  <dc:title>Project Sun Devil</dc:title>
</cp:coreProperties>
</file>