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object w:dxaOrig="1427" w:dyaOrig="141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1.35pt;height:70.75pt" filled="f" o:ole="">
            <v:imagedata r:id="rId3" o:title=""/>
          </v:shape>
          <o:OLEObject Type="Embed" ProgID="" ShapeID="ole_rId2" DrawAspect="Content" ObjectID="_785918392" r:id="rId2"/>
        </w:object>
      </w:r>
      <w:r>
        <w:rPr>
          <w:sz w:val="32"/>
        </w:rPr>
        <w:t>Enron  Transportation</w:t>
      </w:r>
    </w:p>
    <w:p>
      <w:pPr>
        <w:pStyle w:val="Heading"/>
        <w:rPr>
          <w:sz w:val="32"/>
        </w:rPr>
      </w:pPr>
      <w:r>
        <w:rPr>
          <w:sz w:val="32"/>
        </w:rPr>
        <w:tab/>
        <w:tab/>
        <w:t>Services</w:t>
      </w:r>
    </w:p>
    <w:p>
      <w:pPr>
        <w:pStyle w:val="Heading"/>
        <w:rPr/>
      </w:pPr>
      <w:r>
        <w:rPr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bookmarkStart w:id="0" w:name="to"/>
            <w:bookmarkEnd w:id="0"/>
            <w:r>
              <w:rPr/>
              <w:t xml:space="preserve">Kevin Hyatt 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Mansoor Abdmoulaie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 xml:space="preserve">Department:  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>
                <w:sz w:val="24"/>
              </w:rPr>
            </w:pPr>
            <w:bookmarkStart w:id="1" w:name="From"/>
            <w:bookmarkEnd w:id="1"/>
            <w:r>
              <w:rPr>
                <w:sz w:val="24"/>
              </w:rPr>
              <w:t>S. W. Facility Planning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8" w:space="0" w:color="000000"/>
            </w:tcBorders>
          </w:tcPr>
          <w:p>
            <w:pPr>
              <w:pStyle w:val="Subject"/>
              <w:rPr/>
            </w:pPr>
            <w:bookmarkStart w:id="2" w:name="Subject"/>
            <w:bookmarkEnd w:id="2"/>
            <w:r>
              <w:rPr/>
              <w:t>TW mainline&amp; Sun Devil pipeline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8" w:space="0" w:color="000000"/>
            </w:tcBorders>
          </w:tcPr>
          <w:p>
            <w:pPr>
              <w:pStyle w:val="Date"/>
              <w:rPr/>
            </w:pPr>
            <w:r>
              <w:rPr/>
              <w:t>8-1-2001</w:t>
            </w:r>
          </w:p>
        </w:tc>
      </w:tr>
    </w:tbl>
    <w:p>
      <w:pPr>
        <w:pStyle w:val="Body"/>
        <w:ind w:start="180" w:end="0"/>
        <w:rPr/>
      </w:pPr>
      <w:r>
        <w:rPr/>
      </w:r>
      <w:bookmarkStart w:id="3" w:name="StartOfMemo"/>
      <w:bookmarkStart w:id="4" w:name="StartOfMemo"/>
      <w:bookmarkEnd w:id="4"/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>
          <w:sz w:val="24"/>
        </w:rPr>
        <w:t xml:space="preserve">Per your project request of 7-31-2001, The following is a summary of scope/ associated costs (level “A” release </w:t>
      </w:r>
      <w:r>
        <w:rPr>
          <w:rFonts w:eastAsia="Symbol" w:cs="Symbol" w:ascii="Symbol" w:hAnsi="Symbol"/>
          <w:sz w:val="24"/>
        </w:rPr>
        <w:sym w:font="Symbol" w:char="f0b1"/>
      </w:r>
      <w:r>
        <w:rPr>
          <w:sz w:val="24"/>
        </w:rPr>
        <w:t xml:space="preserve"> 30%) to modify TW pipeline system and this is also an addendum to the case VI.A. provided by Planning in the letter of July 7-18-2001.</w:t>
      </w:r>
    </w:p>
    <w:p>
      <w:pPr>
        <w:pStyle w:val="Body"/>
        <w:ind w:start="180" w:end="0"/>
        <w:rPr>
          <w:sz w:val="24"/>
        </w:rPr>
      </w:pPr>
      <w:r>
        <w:rPr>
          <w:sz w:val="24"/>
        </w:rPr>
        <w:t>The Red Rock expansion model (1,240 mmcf/d) has been used as a base case to conduct flow studies for this project.</w:t>
      </w:r>
    </w:p>
    <w:p>
      <w:pPr>
        <w:pStyle w:val="Body"/>
        <w:ind w:start="180" w:end="0"/>
        <w:rPr>
          <w:sz w:val="24"/>
        </w:rPr>
      </w:pPr>
      <w:r>
        <w:rPr>
          <w:sz w:val="24"/>
        </w:rPr>
      </w:r>
    </w:p>
    <w:p>
      <w:pPr>
        <w:pStyle w:val="Body"/>
        <w:ind w:start="180" w:end="0"/>
        <w:rPr/>
      </w:pPr>
      <w:r>
        <w:rPr>
          <w:b/>
          <w:bCs/>
          <w:u w:val="single"/>
        </w:rPr>
        <w:t>Alternative</w:t>
      </w:r>
      <w:r>
        <w:rPr>
          <w:b/>
          <w:bCs/>
        </w:rPr>
        <w:tab/>
        <w:tab/>
      </w:r>
      <w:r>
        <w:rPr>
          <w:b/>
          <w:bCs/>
          <w:u w:val="single"/>
        </w:rPr>
        <w:t>Capacity gained</w:t>
      </w:r>
      <w:r>
        <w:rPr>
          <w:b/>
          <w:bCs/>
        </w:rPr>
        <w:tab/>
        <w:tab/>
      </w:r>
      <w:r>
        <w:rPr>
          <w:b/>
          <w:bCs/>
          <w:u w:val="single"/>
        </w:rPr>
        <w:t>HP</w:t>
      </w:r>
      <w:r>
        <w:rPr>
          <w:b/>
          <w:bCs/>
        </w:rPr>
        <w:tab/>
        <w:tab/>
        <w:tab/>
      </w:r>
      <w:r>
        <w:rPr>
          <w:b/>
          <w:bCs/>
          <w:u w:val="single"/>
        </w:rPr>
        <w:t>Miles of pipe</w:t>
      </w:r>
      <w:r>
        <w:rPr>
          <w:b/>
          <w:bCs/>
        </w:rPr>
        <w:tab/>
        <w:tab/>
        <w:t xml:space="preserve">  </w:t>
      </w:r>
      <w:r>
        <w:rPr>
          <w:b/>
          <w:bCs/>
          <w:u w:val="single"/>
        </w:rPr>
        <w:t>Cost estimate</w:t>
        <w:tab/>
      </w:r>
      <w:r>
        <w:rPr>
          <w:b/>
          <w:bCs/>
        </w:rPr>
        <w:tab/>
      </w:r>
    </w:p>
    <w:p>
      <w:pPr>
        <w:pStyle w:val="Body"/>
        <w:ind w:start="180" w:end="0"/>
        <w:rPr>
          <w:b/>
          <w:bCs/>
        </w:rPr>
      </w:pPr>
      <w:r>
        <w:rPr>
          <w:b/>
          <w:bCs/>
        </w:rPr>
      </w:r>
    </w:p>
    <w:p>
      <w:pPr>
        <w:pStyle w:val="Body"/>
        <w:ind w:start="180" w:end="0"/>
        <w:rPr/>
      </w:pPr>
      <w:r>
        <w:rPr/>
        <w:t>1A</w:t>
        <w:tab/>
        <w:tab/>
        <w:tab/>
      </w:r>
      <w:r>
        <w:rPr>
          <w:b/>
          <w:bCs/>
        </w:rPr>
        <w:t>50 mmcf/d at Needles</w:t>
      </w:r>
      <w:r>
        <w:rPr/>
        <w:tab/>
        <w:tab/>
        <w:t>15,000 at Kingman</w:t>
        <w:tab/>
        <w:t>No</w:t>
        <w:tab/>
        <w:tab/>
        <w:tab/>
        <w:t xml:space="preserve">   </w:t>
      </w:r>
      <w:r>
        <w:rPr>
          <w:b/>
          <w:bCs/>
        </w:rPr>
        <w:t>$ 15.4 mill</w:t>
      </w:r>
    </w:p>
    <w:p>
      <w:pPr>
        <w:pStyle w:val="Body"/>
        <w:ind w:start="180" w:end="0"/>
        <w:rPr>
          <w:b/>
          <w:bCs/>
        </w:rPr>
      </w:pPr>
      <w:r>
        <w:rPr>
          <w:b/>
          <w:bCs/>
        </w:rPr>
      </w:r>
    </w:p>
    <w:p>
      <w:pPr>
        <w:pStyle w:val="Body"/>
        <w:ind w:start="180" w:end="0"/>
        <w:rPr/>
      </w:pPr>
      <w:r>
        <w:rPr/>
        <w:t>1B</w:t>
        <w:tab/>
        <w:tab/>
        <w:tab/>
      </w:r>
      <w:r>
        <w:rPr>
          <w:b/>
          <w:bCs/>
        </w:rPr>
        <w:t>60 mmcf/d at Needles</w:t>
      </w:r>
      <w:r>
        <w:rPr/>
        <w:tab/>
        <w:tab/>
        <w:t>41,500 at Kingman</w:t>
        <w:tab/>
        <w:t>No</w:t>
        <w:tab/>
        <w:tab/>
        <w:tab/>
        <w:t xml:space="preserve">   </w:t>
      </w:r>
      <w:r>
        <w:rPr>
          <w:b/>
          <w:bCs/>
        </w:rPr>
        <w:t>$ 25    mill</w:t>
      </w:r>
    </w:p>
    <w:p>
      <w:pPr>
        <w:pStyle w:val="Body"/>
        <w:ind w:start="180" w:end="0"/>
        <w:rPr>
          <w:b/>
          <w:bCs/>
        </w:rPr>
      </w:pPr>
      <w:r>
        <w:rPr>
          <w:b/>
          <w:bCs/>
        </w:rPr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/>
        <w:t>2A</w:t>
        <w:tab/>
        <w:tab/>
        <w:tab/>
        <w:t>90 mmcf/d at Big Sandy</w:t>
        <w:tab/>
        <w:tab/>
        <w:t>41,500 at Kingman</w:t>
        <w:tab/>
        <w:tab/>
        <w:tab/>
        <w:tab/>
        <w:t xml:space="preserve">   $ 25</w:t>
        <w:tab/>
        <w:tab/>
      </w:r>
    </w:p>
    <w:p>
      <w:pPr>
        <w:pStyle w:val="Body"/>
        <w:ind w:firstLine="540" w:start="6660" w:end="0"/>
        <w:rPr/>
      </w:pPr>
      <w:r>
        <w:rPr/>
        <w:t xml:space="preserve">188.51mi-36” loop </w:t>
        <w:tab/>
        <w:t xml:space="preserve">   $ 248   mill</w:t>
      </w:r>
    </w:p>
    <w:p>
      <w:pPr>
        <w:pStyle w:val="Body"/>
        <w:ind w:start="180" w:end="0"/>
        <w:rPr/>
      </w:pPr>
      <w:r>
        <w:rPr/>
        <w:tab/>
        <w:tab/>
        <w:tab/>
        <w:t>75 mmcf.d at Needles</w:t>
        <w:tab/>
        <w:tab/>
        <w:tab/>
        <w:tab/>
        <w:tab/>
        <w:t>(from San-Junc to Sta-2)</w:t>
      </w:r>
    </w:p>
    <w:p>
      <w:pPr>
        <w:pStyle w:val="Body"/>
        <w:ind w:start="180" w:end="0"/>
        <w:rPr>
          <w:b/>
          <w:bCs/>
        </w:rPr>
      </w:pPr>
      <w:r>
        <w:rPr/>
        <w:tab/>
        <w:tab/>
        <w:tab/>
        <w:t>400 mmcf/d to Sun Devil</w:t>
        <w:tab/>
        <w:tab/>
        <w:tab/>
        <w:tab/>
        <w:t>San-Juan Expan.</w:t>
        <w:tab/>
        <w:t xml:space="preserve">   $ 149   mill</w:t>
        <w:tab/>
        <w:tab/>
        <w:tab/>
        <w:tab/>
      </w:r>
      <w:r>
        <w:rPr>
          <w:b/>
          <w:bCs/>
        </w:rPr>
        <w:tab/>
        <w:tab/>
        <w:tab/>
        <w:tab/>
        <w:tab/>
        <w:tab/>
        <w:tab/>
      </w:r>
      <w:r>
        <w:rPr/>
        <w:t>Sun Devil pipeline</w:t>
        <w:tab/>
        <w:t xml:space="preserve">   $ 192   mill</w:t>
      </w:r>
    </w:p>
    <w:p>
      <w:pPr>
        <w:pStyle w:val="Body"/>
        <w:ind w:start="180" w:end="0"/>
        <w:rPr/>
      </w:pPr>
      <w:r>
        <w:rPr>
          <w:b/>
          <w:bCs/>
        </w:rPr>
        <w:tab/>
        <w:tab/>
        <w:tab/>
        <w:t>Total= 565 mmc/d</w:t>
      </w:r>
      <w:r>
        <w:rPr/>
        <w:tab/>
        <w:tab/>
        <w:tab/>
        <w:tab/>
        <w:tab/>
      </w:r>
      <w:r>
        <w:rPr>
          <w:b/>
          <w:bCs/>
        </w:rPr>
        <w:t>Total</w:t>
        <w:tab/>
      </w:r>
      <w:r>
        <w:rPr/>
        <w:tab/>
        <w:tab/>
        <w:t xml:space="preserve">   </w:t>
      </w:r>
      <w:r>
        <w:rPr>
          <w:b/>
          <w:bCs/>
        </w:rPr>
        <w:t>$ 614   mill</w:t>
      </w:r>
    </w:p>
    <w:p>
      <w:pPr>
        <w:pStyle w:val="Body"/>
        <w:ind w:start="180" w:end="0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</w:t>
      </w:r>
    </w:p>
    <w:p>
      <w:pPr>
        <w:pStyle w:val="Body"/>
        <w:ind w:start="180" w:end="0"/>
        <w:rPr>
          <w:b/>
          <w:bCs/>
        </w:rPr>
      </w:pPr>
      <w:r>
        <w:rPr>
          <w:b/>
          <w:bCs/>
        </w:rPr>
      </w:r>
    </w:p>
    <w:p>
      <w:pPr>
        <w:pStyle w:val="Body"/>
        <w:ind w:start="180" w:end="0"/>
        <w:rPr/>
      </w:pPr>
      <w:r>
        <w:rPr/>
        <w:t>2B</w:t>
        <w:tab/>
        <w:tab/>
        <w:tab/>
        <w:t>90 mmc/d at Big Sandy</w:t>
        <w:tab/>
        <w:tab/>
        <w:t>41,500 at Kingman</w:t>
        <w:tab/>
        <w:tab/>
        <w:tab/>
        <w:tab/>
        <w:t xml:space="preserve">   $ 25    mill  </w:t>
      </w:r>
    </w:p>
    <w:p>
      <w:pPr>
        <w:pStyle w:val="Body"/>
        <w:ind w:start="180" w:end="0"/>
        <w:rPr/>
      </w:pPr>
      <w:r>
        <w:rPr/>
        <w:tab/>
        <w:tab/>
        <w:tab/>
        <w:t>70 mmcf/d at Needles</w:t>
        <w:tab/>
        <w:tab/>
        <w:tab/>
        <w:tab/>
        <w:tab/>
        <w:t>188.51 mi-42” replacing</w:t>
        <w:tab/>
        <w:t xml:space="preserve">   $ 289  mill</w:t>
      </w:r>
    </w:p>
    <w:p>
      <w:pPr>
        <w:pStyle w:val="Body"/>
        <w:ind w:start="180" w:end="0"/>
        <w:rPr/>
      </w:pPr>
      <w:r>
        <w:rPr/>
        <w:tab/>
        <w:tab/>
        <w:tab/>
        <w:t>400 mmcf/d at Sun Devil</w:t>
        <w:tab/>
        <w:tab/>
        <w:tab/>
        <w:tab/>
        <w:t xml:space="preserve">existin-30” from San-Junc </w:t>
        <w:tab/>
        <w:tab/>
      </w:r>
    </w:p>
    <w:p>
      <w:pPr>
        <w:pStyle w:val="Body"/>
        <w:ind w:start="180" w:end="0"/>
        <w:rPr/>
      </w:pPr>
      <w:r>
        <w:rPr>
          <w:b/>
          <w:bCs/>
        </w:rPr>
        <w:tab/>
        <w:tab/>
        <w:tab/>
        <w:tab/>
        <w:tab/>
        <w:tab/>
        <w:tab/>
        <w:tab/>
        <w:tab/>
        <w:tab/>
      </w:r>
      <w:r>
        <w:rPr/>
        <w:t>to Sta-2.</w:t>
      </w:r>
    </w:p>
    <w:p>
      <w:pPr>
        <w:pStyle w:val="Body"/>
        <w:ind w:start="180" w:end="0"/>
        <w:rPr/>
      </w:pPr>
      <w:r>
        <w:rPr/>
        <w:tab/>
        <w:tab/>
        <w:tab/>
        <w:tab/>
        <w:tab/>
        <w:tab/>
        <w:tab/>
        <w:tab/>
        <w:tab/>
        <w:tab/>
        <w:t>San-Juan expan.</w:t>
        <w:tab/>
        <w:t xml:space="preserve">   $ 149  mill</w:t>
      </w:r>
    </w:p>
    <w:p>
      <w:pPr>
        <w:pStyle w:val="Body"/>
        <w:ind w:start="180" w:end="0"/>
        <w:rPr/>
      </w:pPr>
      <w:r>
        <w:rPr/>
        <w:tab/>
        <w:tab/>
        <w:tab/>
        <w:tab/>
        <w:tab/>
        <w:tab/>
        <w:tab/>
        <w:tab/>
        <w:tab/>
        <w:tab/>
        <w:t>Sun Devil pipeline</w:t>
        <w:tab/>
        <w:t xml:space="preserve">   $ 192  mill</w:t>
      </w:r>
    </w:p>
    <w:p>
      <w:pPr>
        <w:pStyle w:val="Body"/>
        <w:ind w:start="180" w:end="0"/>
        <w:rPr/>
      </w:pPr>
      <w:r>
        <w:rPr/>
        <w:tab/>
        <w:tab/>
        <w:tab/>
      </w:r>
      <w:r>
        <w:rPr>
          <w:b/>
          <w:bCs/>
        </w:rPr>
        <w:t>Total= 560 mmcf/d</w:t>
        <w:tab/>
        <w:tab/>
        <w:tab/>
        <w:tab/>
        <w:tab/>
        <w:t>Total</w:t>
        <w:tab/>
        <w:tab/>
        <w:tab/>
        <w:t xml:space="preserve">   $ 655  mill</w:t>
      </w:r>
    </w:p>
    <w:p>
      <w:pPr>
        <w:pStyle w:val="Body"/>
        <w:ind w:start="180" w:end="0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</w:t>
      </w:r>
    </w:p>
    <w:p>
      <w:pPr>
        <w:pStyle w:val="Body"/>
        <w:ind w:start="180" w:end="0"/>
        <w:rPr>
          <w:b/>
          <w:bCs/>
        </w:rPr>
      </w:pPr>
      <w:r>
        <w:rPr>
          <w:b/>
          <w:bCs/>
        </w:rPr>
      </w:r>
    </w:p>
    <w:p>
      <w:pPr>
        <w:pStyle w:val="Body"/>
        <w:ind w:start="180" w:end="0"/>
        <w:rPr>
          <w:b/>
          <w:bCs/>
        </w:rPr>
      </w:pPr>
      <w:r>
        <w:rPr>
          <w:b/>
          <w:bCs/>
        </w:rPr>
      </w:r>
    </w:p>
    <w:p>
      <w:pPr>
        <w:pStyle w:val="Body"/>
        <w:ind w:start="180" w:end="0"/>
        <w:rPr/>
      </w:pPr>
      <w:r>
        <w:rPr/>
        <w:t>3A</w:t>
        <w:tab/>
        <w:tab/>
        <w:tab/>
        <w:t>90 mmcf/d at Big Sandy</w:t>
        <w:tab/>
        <w:tab/>
        <w:t>41,500 at Kingman</w:t>
        <w:tab/>
        <w:tab/>
        <w:tab/>
        <w:tab/>
        <w:t xml:space="preserve">   $  25  mill</w:t>
        <w:tab/>
      </w:r>
    </w:p>
    <w:p>
      <w:pPr>
        <w:pStyle w:val="Body"/>
        <w:ind w:start="180" w:end="0"/>
        <w:rPr/>
      </w:pPr>
      <w:r>
        <w:rPr/>
        <w:tab/>
        <w:tab/>
        <w:tab/>
        <w:t>240 mmcf/d at Needles</w:t>
        <w:tab/>
        <w:tab/>
        <w:t>41,500 at Sta-2 / Sta-1</w:t>
        <w:tab/>
        <w:tab/>
        <w:tab/>
        <w:tab/>
        <w:t xml:space="preserve">   $  25  mill</w:t>
      </w:r>
    </w:p>
    <w:p>
      <w:pPr>
        <w:pStyle w:val="Body"/>
        <w:ind w:start="180" w:end="0"/>
        <w:rPr/>
      </w:pPr>
      <w:r>
        <w:rPr/>
        <w:tab/>
        <w:tab/>
        <w:tab/>
        <w:t>400 mmcf/d at Sun Devil</w:t>
        <w:tab/>
        <w:tab/>
        <w:tab/>
        <w:tab/>
        <w:t>188.51 mi-36” loop</w:t>
        <w:tab/>
        <w:t xml:space="preserve">   $  248 mill</w:t>
        <w:tab/>
        <w:tab/>
        <w:tab/>
        <w:tab/>
        <w:tab/>
        <w:tab/>
        <w:tab/>
        <w:tab/>
        <w:tab/>
        <w:tab/>
        <w:tab/>
        <w:t>San-Juan expa.</w:t>
        <w:tab/>
        <w:tab/>
        <w:t xml:space="preserve">   $ 149 mill</w:t>
        <w:tab/>
        <w:tab/>
        <w:tab/>
        <w:tab/>
        <w:tab/>
        <w:tab/>
        <w:tab/>
        <w:tab/>
        <w:tab/>
        <w:tab/>
        <w:tab/>
        <w:t>Sun Devil pipeline</w:t>
        <w:tab/>
        <w:t xml:space="preserve">   $ 192 mill</w:t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/>
        <w:tab/>
        <w:tab/>
        <w:tab/>
      </w:r>
      <w:r>
        <w:rPr>
          <w:b/>
          <w:bCs/>
        </w:rPr>
        <w:t>Total= 730 mmcf/d</w:t>
        <w:tab/>
        <w:tab/>
        <w:tab/>
        <w:tab/>
        <w:tab/>
        <w:t>Total</w:t>
        <w:tab/>
        <w:tab/>
        <w:tab/>
        <w:t xml:space="preserve">   $ 639 mill</w:t>
      </w:r>
    </w:p>
    <w:p>
      <w:pPr>
        <w:pStyle w:val="Body"/>
        <w:ind w:start="180" w:end="0"/>
        <w:rPr>
          <w:b/>
          <w:bCs/>
        </w:rPr>
      </w:pPr>
      <w:r>
        <w:rPr>
          <w:b/>
          <w:bCs/>
        </w:rPr>
      </w:r>
    </w:p>
    <w:p>
      <w:pPr>
        <w:pStyle w:val="Body"/>
        <w:ind w:start="180" w:end="0"/>
        <w:rPr>
          <w:b/>
          <w:bCs/>
        </w:rPr>
      </w:pPr>
      <w:r>
        <w:rPr>
          <w:b/>
          <w:bCs/>
        </w:rPr>
      </w:r>
    </w:p>
    <w:p>
      <w:pPr>
        <w:pStyle w:val="Body"/>
        <w:ind w:start="180" w:end="0"/>
        <w:rPr/>
      </w:pPr>
      <w:r>
        <w:rPr/>
        <w:t>3B</w:t>
        <w:tab/>
        <w:tab/>
        <w:tab/>
        <w:t>90 mmcf/d at Big Sandy</w:t>
        <w:tab/>
        <w:tab/>
        <w:t>41,500 at Kingman</w:t>
        <w:tab/>
        <w:tab/>
        <w:tab/>
        <w:tab/>
        <w:t xml:space="preserve"> $  25  mill</w:t>
      </w:r>
    </w:p>
    <w:p>
      <w:pPr>
        <w:pStyle w:val="Body"/>
        <w:ind w:start="180" w:end="0"/>
        <w:rPr/>
      </w:pPr>
      <w:r>
        <w:rPr/>
        <w:tab/>
        <w:tab/>
        <w:tab/>
        <w:t>170 mmcf/d at Needles</w:t>
        <w:tab/>
        <w:tab/>
        <w:t>41,500 at Sta-2/ Sta-1</w:t>
        <w:tab/>
        <w:tab/>
        <w:tab/>
        <w:tab/>
        <w:t xml:space="preserve"> $ 25  mill</w:t>
      </w:r>
    </w:p>
    <w:p>
      <w:pPr>
        <w:pStyle w:val="Body"/>
        <w:ind w:start="180" w:end="0"/>
        <w:rPr/>
      </w:pPr>
      <w:r>
        <w:rPr/>
        <w:tab/>
        <w:tab/>
        <w:tab/>
        <w:t>400 mmcf/d at Sun Devil</w:t>
        <w:tab/>
        <w:tab/>
        <w:tab/>
        <w:tab/>
        <w:t>188.51 mi-42” replacing</w:t>
        <w:tab/>
        <w:t xml:space="preserve"> $ 289 mill</w:t>
      </w:r>
    </w:p>
    <w:p>
      <w:pPr>
        <w:pStyle w:val="Body"/>
        <w:ind w:start="180" w:end="0"/>
        <w:rPr/>
      </w:pPr>
      <w:r>
        <w:rPr/>
        <w:tab/>
        <w:tab/>
        <w:tab/>
        <w:tab/>
        <w:tab/>
        <w:tab/>
        <w:tab/>
        <w:tab/>
        <w:tab/>
        <w:tab/>
        <w:t>existing 30”</w:t>
      </w:r>
    </w:p>
    <w:p>
      <w:pPr>
        <w:pStyle w:val="Body"/>
        <w:ind w:start="180" w:end="0"/>
        <w:rPr/>
      </w:pPr>
      <w:r>
        <w:rPr/>
        <w:tab/>
        <w:tab/>
        <w:tab/>
        <w:tab/>
        <w:tab/>
        <w:tab/>
        <w:tab/>
        <w:tab/>
        <w:tab/>
        <w:tab/>
        <w:t>San-Juan expan.</w:t>
        <w:tab/>
        <w:t xml:space="preserve"> $ 149 mill</w:t>
      </w:r>
    </w:p>
    <w:p>
      <w:pPr>
        <w:pStyle w:val="Body"/>
        <w:ind w:start="180" w:end="0"/>
        <w:rPr/>
      </w:pPr>
      <w:r>
        <w:rPr/>
        <w:tab/>
        <w:tab/>
        <w:tab/>
        <w:tab/>
        <w:tab/>
        <w:tab/>
        <w:tab/>
        <w:tab/>
        <w:tab/>
        <w:tab/>
        <w:t>Sun Devil pipeline</w:t>
        <w:tab/>
        <w:t xml:space="preserve"> $ 192 mill</w:t>
      </w:r>
    </w:p>
    <w:p>
      <w:pPr>
        <w:pStyle w:val="Body"/>
        <w:ind w:start="180" w:end="0"/>
        <w:rPr/>
      </w:pPr>
      <w:r>
        <w:rPr/>
        <w:tab/>
        <w:tab/>
        <w:tab/>
      </w:r>
      <w:r>
        <w:rPr>
          <w:b/>
          <w:bCs/>
        </w:rPr>
        <w:t>Total= 660 mmcf/d</w:t>
        <w:tab/>
        <w:tab/>
      </w:r>
      <w:r>
        <w:rPr/>
        <w:tab/>
        <w:tab/>
        <w:tab/>
      </w:r>
      <w:r>
        <w:rPr>
          <w:b/>
          <w:bCs/>
        </w:rPr>
        <w:t>Total</w:t>
        <w:tab/>
      </w:r>
      <w:r>
        <w:rPr/>
        <w:tab/>
        <w:tab/>
        <w:t xml:space="preserve"> </w:t>
      </w:r>
      <w:r>
        <w:rPr>
          <w:b/>
          <w:bCs/>
        </w:rPr>
        <w:t>$ 680 mill</w:t>
        <w:tab/>
        <w:tab/>
        <w:tab/>
        <w:tab/>
        <w:tab/>
      </w:r>
    </w:p>
    <w:p>
      <w:pPr>
        <w:pStyle w:val="Body"/>
        <w:ind w:start="180" w:end="0"/>
        <w:rPr>
          <w:b/>
          <w:bCs/>
        </w:rPr>
      </w:pPr>
      <w:r>
        <w:rPr>
          <w:b/>
          <w:bCs/>
        </w:rPr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/>
        <w:tab/>
        <w:t xml:space="preserve"> </w:t>
        <w:tab/>
        <w:tab/>
        <w:tab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63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2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65849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St1z0">
    <w:name w:val="WW8NumSt1z0"/>
    <w:qFormat/>
    <w:rPr>
      <w:rFonts w:ascii="Symbol" w:hAnsi="Symbol" w:cs="Symbol"/>
      <w:b w:val="false"/>
      <w:i w:val="false"/>
      <w:color w:val="000080"/>
      <w:sz w:val="24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2001-07-31T18:54:00Z</dcterms:created>
  <dc:creator>ET&amp;S LAN Support</dc:creator>
  <dc:description/>
  <dc:language>en-CA</dc:language>
  <cp:lastModifiedBy>mabdmou</cp:lastModifiedBy>
  <cp:lastPrinted>2001-07-31T16:14:00Z</cp:lastPrinted>
  <dcterms:modified xsi:type="dcterms:W3CDTF">2001-07-31T19:46:00Z</dcterms:modified>
  <cp:revision>35</cp:revision>
  <dc:subject/>
  <dc:title> </dc:title>
</cp:coreProperties>
</file>