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szCs w:val="24"/>
        </w:rPr>
      </w:pPr>
      <w:r>
        <w:rPr>
          <w:b/>
          <w:bCs/>
          <w:sz w:val="24"/>
          <w:szCs w:val="24"/>
        </w:rPr>
        <w:t>TRANSWESTERN PIPELINE COMPANY</w:t>
      </w:r>
    </w:p>
    <w:p>
      <w:pPr>
        <w:pStyle w:val="Normal"/>
        <w:jc w:val="center"/>
        <w:rPr>
          <w:b/>
          <w:bCs/>
          <w:sz w:val="24"/>
          <w:szCs w:val="24"/>
        </w:rPr>
      </w:pPr>
      <w:r>
        <w:rPr>
          <w:b/>
          <w:bCs/>
          <w:sz w:val="24"/>
          <w:szCs w:val="24"/>
        </w:rPr>
        <w:t>PROPOSED SUN DEVIL EXPANSION</w:t>
      </w:r>
    </w:p>
    <w:p>
      <w:pPr>
        <w:pStyle w:val="Normal"/>
        <w:jc w:val="center"/>
        <w:rPr>
          <w:b/>
          <w:bCs/>
          <w:sz w:val="24"/>
          <w:szCs w:val="24"/>
        </w:rPr>
      </w:pPr>
      <w:r>
        <w:rPr>
          <w:b/>
          <w:bCs/>
          <w:sz w:val="24"/>
          <w:szCs w:val="24"/>
        </w:rPr>
        <w:t>August 8, 2001</w:t>
      </w:r>
    </w:p>
    <w:p>
      <w:pPr>
        <w:pStyle w:val="Normal"/>
        <w:jc w:val="center"/>
        <w:rPr>
          <w:b/>
          <w:bCs/>
          <w:sz w:val="24"/>
          <w:szCs w:val="24"/>
        </w:rPr>
      </w:pPr>
      <w:r>
        <w:rPr>
          <w:b/>
          <w:bCs/>
          <w:sz w:val="24"/>
          <w:szCs w:val="24"/>
        </w:rPr>
      </w:r>
    </w:p>
    <w:p>
      <w:pPr>
        <w:pStyle w:val="Heading1"/>
        <w:numPr>
          <w:ilvl w:val="0"/>
          <w:numId w:val="3"/>
        </w:numPr>
        <w:tabs>
          <w:tab w:val="clear" w:pos="720"/>
          <w:tab w:val="left" w:pos="0" w:leader="none"/>
        </w:tabs>
        <w:ind w:hanging="720" w:start="1260" w:end="0"/>
        <w:rPr>
          <w:b/>
          <w:bCs/>
        </w:rPr>
      </w:pPr>
      <w:r>
        <w:rPr>
          <w:b/>
          <w:bCs/>
        </w:rPr>
        <w:t>Introduction</w:t>
      </w:r>
    </w:p>
    <w:p>
      <w:pPr>
        <w:pStyle w:val="Normal"/>
        <w:numPr>
          <w:ilvl w:val="0"/>
          <w:numId w:val="0"/>
        </w:numPr>
        <w:ind w:hanging="0" w:start="0"/>
        <w:rPr>
          <w:b/>
          <w:bCs/>
          <w:sz w:val="24"/>
          <w:szCs w:val="24"/>
        </w:rPr>
      </w:pPr>
      <w:r>
        <w:rPr>
          <w:b/>
          <w:bCs/>
          <w:sz w:val="24"/>
          <w:szCs w:val="24"/>
        </w:rPr>
      </w:r>
    </w:p>
    <w:p>
      <w:pPr>
        <w:pStyle w:val="BodyText"/>
        <w:numPr>
          <w:ilvl w:val="0"/>
          <w:numId w:val="0"/>
        </w:numPr>
        <w:ind w:hanging="0" w:start="0"/>
        <w:rPr/>
      </w:pPr>
      <w:r>
        <w:rPr/>
        <w:t xml:space="preserve">In response to shipper inquiries and growing market demand, Transwestern Pipeline Company (“Transwestern”) is considering plans to modify its mainline and lateral facilities, subject to a successful open season and all other approvals.  As proposed, the Sun Devil Project will transport additional gas from the San Juan Basin to Phoenix, AZ and to the California Border on Transwestern’s mainline.  </w:t>
      </w:r>
    </w:p>
    <w:p>
      <w:pPr>
        <w:pStyle w:val="BodyText"/>
        <w:numPr>
          <w:ilvl w:val="0"/>
          <w:numId w:val="0"/>
        </w:numPr>
        <w:ind w:hanging="0" w:start="0"/>
        <w:rPr/>
      </w:pPr>
      <w:r>
        <w:rPr/>
      </w:r>
    </w:p>
    <w:p>
      <w:pPr>
        <w:pStyle w:val="BodyText"/>
        <w:numPr>
          <w:ilvl w:val="0"/>
          <w:numId w:val="0"/>
        </w:numPr>
        <w:ind w:hanging="0" w:start="0"/>
        <w:rPr/>
      </w:pPr>
      <w:r>
        <w:rPr/>
        <w:t xml:space="preserve">The proposed project will include new compression and pipeline looping of the existing Transwestern San Juan lateral and mainline facilities.    Included in the project is a new lateral, the Flagstaff – Phoenix, Arizona lateral, which will add approximately 175 miles to Transwestern’s existing system.  The project’s estimated in-service date is January 2004. </w:t>
      </w:r>
    </w:p>
    <w:p>
      <w:pPr>
        <w:pStyle w:val="BodyText"/>
        <w:numPr>
          <w:ilvl w:val="0"/>
          <w:numId w:val="0"/>
        </w:numPr>
        <w:ind w:hanging="0" w:start="0"/>
        <w:rPr/>
      </w:pPr>
      <w:r>
        <w:rPr/>
      </w:r>
    </w:p>
    <w:p>
      <w:pPr>
        <w:pStyle w:val="Normal"/>
        <w:numPr>
          <w:ilvl w:val="0"/>
          <w:numId w:val="0"/>
        </w:numPr>
        <w:ind w:hanging="0" w:start="0"/>
        <w:jc w:val="both"/>
        <w:rPr>
          <w:sz w:val="24"/>
          <w:szCs w:val="24"/>
        </w:rPr>
      </w:pPr>
      <w:r>
        <w:rPr>
          <w:sz w:val="24"/>
          <w:szCs w:val="24"/>
        </w:rPr>
        <w:t xml:space="preserve">The proposed facility modifications will enable Transwestern to deliver an incremental 780,000 Dth/day from the Blanco Hub located in San Juan County, NM to the Thoreau area, an incremental 90,000 Dth/day from Thoreau to the California Border, and an incremental 450,000 Dth/day from Thoreau to Phoenix, Arizona.  </w:t>
      </w:r>
    </w:p>
    <w:p>
      <w:pPr>
        <w:pStyle w:val="Normal"/>
        <w:numPr>
          <w:ilvl w:val="0"/>
          <w:numId w:val="0"/>
        </w:numPr>
        <w:ind w:hanging="0" w:start="0"/>
        <w:jc w:val="both"/>
        <w:rPr>
          <w:sz w:val="24"/>
          <w:szCs w:val="24"/>
        </w:rPr>
      </w:pPr>
      <w:r>
        <w:rPr>
          <w:sz w:val="24"/>
          <w:szCs w:val="24"/>
        </w:rPr>
      </w:r>
    </w:p>
    <w:p>
      <w:pPr>
        <w:pStyle w:val="Normal"/>
        <w:numPr>
          <w:ilvl w:val="0"/>
          <w:numId w:val="0"/>
        </w:numPr>
        <w:ind w:hanging="0" w:start="0"/>
        <w:jc w:val="both"/>
        <w:rPr>
          <w:sz w:val="24"/>
          <w:szCs w:val="24"/>
        </w:rPr>
      </w:pPr>
      <w:r>
        <w:rPr>
          <w:sz w:val="24"/>
          <w:szCs w:val="24"/>
        </w:rPr>
        <w:t>Potential supply receipt points from the San Juan Basin at the Blanco Hub are BRT/Val Verde Plant, WFS/Milagro Plant, WFS/Kutz Plant, and TransColorado/Blanco.  Transwestern will consider interconnecting with other upstream and downstream pipelines.  Interconnections between Transwestern and any other pipeline are subject to the mutual agreement of the pipelines.  Bidders are responsible for arranging separate upstream or downstream transportation service and supply.</w:t>
      </w:r>
    </w:p>
    <w:p>
      <w:pPr>
        <w:pStyle w:val="BodyText"/>
        <w:numPr>
          <w:ilvl w:val="0"/>
          <w:numId w:val="0"/>
        </w:numPr>
        <w:ind w:hanging="0" w:start="0"/>
        <w:rPr>
          <w:sz w:val="24"/>
          <w:szCs w:val="24"/>
        </w:rPr>
      </w:pPr>
      <w:r>
        <w:rPr>
          <w:sz w:val="24"/>
          <w:szCs w:val="24"/>
        </w:rPr>
      </w:r>
    </w:p>
    <w:p>
      <w:pPr>
        <w:pStyle w:val="BodyText"/>
        <w:numPr>
          <w:ilvl w:val="0"/>
          <w:numId w:val="0"/>
        </w:numPr>
        <w:ind w:hanging="0" w:start="0"/>
        <w:rPr/>
      </w:pPr>
      <w:r>
        <w:rPr/>
      </w:r>
    </w:p>
    <w:p>
      <w:pPr>
        <w:pStyle w:val="BodyText"/>
        <w:numPr>
          <w:ilvl w:val="0"/>
          <w:numId w:val="3"/>
        </w:numPr>
        <w:tabs>
          <w:tab w:val="clear" w:pos="720"/>
          <w:tab w:val="left" w:pos="0" w:leader="none"/>
        </w:tabs>
        <w:ind w:hanging="1440" w:start="1440" w:end="0"/>
        <w:rPr>
          <w:b/>
          <w:bCs/>
        </w:rPr>
      </w:pPr>
      <w:r>
        <w:rPr>
          <w:b/>
          <w:bCs/>
        </w:rPr>
        <w:t>Proposed Services and Rates</w:t>
      </w:r>
    </w:p>
    <w:p>
      <w:pPr>
        <w:pStyle w:val="BodyText"/>
        <w:rPr/>
      </w:pPr>
      <w:r>
        <w:rPr/>
      </w:r>
    </w:p>
    <w:p>
      <w:pPr>
        <w:pStyle w:val="BodyText"/>
        <w:rPr/>
      </w:pPr>
      <w:r>
        <w:rPr/>
        <w:t>Transwestern proposes to offer firm natural gas transportation service (“FTS”).  An FTS buyer will contract for and pay a monthly reservation fee based upon its Maximum Daily Transportation Quantity (“MAXDTQ”).</w:t>
      </w:r>
    </w:p>
    <w:p>
      <w:pPr>
        <w:pStyle w:val="BodyText"/>
        <w:rPr/>
      </w:pPr>
      <w:r>
        <w:rPr/>
      </w:r>
    </w:p>
    <w:p>
      <w:pPr>
        <w:pStyle w:val="BodyText"/>
        <w:rPr/>
      </w:pPr>
      <w:r>
        <w:rPr/>
        <w:t>The estimated maximum one-part reservation rates, exclusive of fuel and all surcharges, for firm service through the capacity described in this open season are shown below.  The unit rates have been calculated on an incremental basis assuming that the capacity offered during this open season will be fully subscribed for the entire project life.  The fuel rate is estimated to be 5%.  The maximum tariff rates applicable to service through the proposed capacity may vary from those shown below as a result of deviation from the estimated costs of constructing and operating the Sun Devil Facilities, the level of capacity subscribed, and whether the costs of the expansion can be rolled into Transwestern’s existing rates without adverse impact to Transwestern’s existing customers.</w:t>
      </w:r>
    </w:p>
    <w:p>
      <w:pPr>
        <w:pStyle w:val="BodyText"/>
        <w:rPr/>
      </w:pPr>
      <w:r>
        <w:rPr/>
      </w:r>
    </w:p>
    <w:p>
      <w:pPr>
        <w:pStyle w:val="BodyText"/>
        <w:rPr/>
      </w:pPr>
      <w:r>
        <w:rPr/>
      </w:r>
    </w:p>
    <w:p>
      <w:pPr>
        <w:pStyle w:val="BodyText"/>
        <w:rPr/>
      </w:pPr>
      <w:r>
        <w:rPr/>
        <w:tab/>
      </w:r>
      <w:r>
        <w:rPr>
          <w:b/>
          <w:bCs/>
        </w:rPr>
        <w:t xml:space="preserve">Estimated Maximum Reservation Rates:            </w:t>
      </w:r>
    </w:p>
    <w:p>
      <w:pPr>
        <w:pStyle w:val="BodyText"/>
        <w:rPr/>
      </w:pPr>
      <w:r>
        <w:rPr/>
        <w:tab/>
        <w:tab/>
        <w:t>San Juan to Thoreau</w:t>
        <w:tab/>
        <w:tab/>
        <w:t>$.0985 Dth/day</w:t>
      </w:r>
    </w:p>
    <w:p>
      <w:pPr>
        <w:pStyle w:val="BodyText"/>
        <w:rPr/>
      </w:pPr>
      <w:r>
        <w:rPr/>
        <w:tab/>
        <w:tab/>
        <w:t>Thoreau to California</w:t>
        <w:tab/>
        <w:tab/>
        <w:t xml:space="preserve">$.240 Dth/day </w:t>
      </w:r>
    </w:p>
    <w:p>
      <w:pPr>
        <w:pStyle w:val="BodyText"/>
        <w:ind w:firstLine="720" w:start="720" w:end="0"/>
        <w:rPr/>
      </w:pPr>
      <w:r>
        <w:rPr/>
        <w:t>Thoreau to Phoenix</w:t>
        <w:tab/>
        <w:tab/>
        <w:t>$.454 Dth/day</w:t>
      </w:r>
    </w:p>
    <w:p>
      <w:pPr>
        <w:pStyle w:val="BodyText"/>
        <w:rPr/>
      </w:pPr>
      <w:r>
        <w:rPr/>
        <w:tab/>
        <w:tab/>
        <w:tab/>
        <w:tab/>
      </w:r>
    </w:p>
    <w:p>
      <w:pPr>
        <w:pStyle w:val="BodyText"/>
        <w:rPr/>
      </w:pPr>
      <w:r>
        <w:rPr/>
      </w:r>
    </w:p>
    <w:p>
      <w:pPr>
        <w:pStyle w:val="BodyText"/>
        <w:numPr>
          <w:ilvl w:val="0"/>
          <w:numId w:val="4"/>
        </w:numPr>
        <w:tabs>
          <w:tab w:val="clear" w:pos="720"/>
          <w:tab w:val="left" w:pos="0" w:leader="none"/>
          <w:tab w:val="left" w:pos="180" w:leader="none"/>
          <w:tab w:val="left" w:pos="360" w:leader="none"/>
        </w:tabs>
        <w:ind w:hanging="1620" w:start="1620" w:end="0"/>
        <w:rPr>
          <w:b/>
          <w:bCs/>
        </w:rPr>
      </w:pPr>
      <w:r>
        <w:rPr>
          <w:b/>
          <w:bCs/>
        </w:rPr>
        <w:t>Bidding Requirements</w:t>
      </w:r>
    </w:p>
    <w:p>
      <w:pPr>
        <w:pStyle w:val="BodyText"/>
        <w:numPr>
          <w:ilvl w:val="0"/>
          <w:numId w:val="0"/>
        </w:numPr>
        <w:ind w:hanging="0" w:start="0"/>
        <w:rPr>
          <w:b/>
          <w:bCs/>
        </w:rPr>
      </w:pPr>
      <w:r>
        <w:rPr>
          <w:b/>
          <w:bCs/>
        </w:rPr>
      </w:r>
    </w:p>
    <w:p>
      <w:pPr>
        <w:pStyle w:val="BodyText"/>
        <w:numPr>
          <w:ilvl w:val="0"/>
          <w:numId w:val="0"/>
        </w:numPr>
        <w:ind w:hanging="0" w:start="0"/>
        <w:rPr/>
      </w:pPr>
      <w:r>
        <w:rPr/>
        <w:t xml:space="preserve">Parties bidding on the firm transportation service must return to Transwestern during the open season a bid response which includes a completed offer sheet in the form of Attachment A.  Bids must be based on reservation charges for FTS service only.  The bid should include a rate expressed as a percentage of the maximum reservation charge.  </w:t>
      </w:r>
      <w:r>
        <w:rPr>
          <w:b/>
          <w:bCs/>
        </w:rPr>
        <w:t>Transwestern shall not be obligated to award capacity to potential shippers bidding less than 100% of the maximum FTS reservation charge.</w:t>
      </w:r>
    </w:p>
    <w:p>
      <w:pPr>
        <w:pStyle w:val="BodyText"/>
        <w:numPr>
          <w:ilvl w:val="0"/>
          <w:numId w:val="0"/>
        </w:numPr>
        <w:ind w:hanging="0" w:start="0"/>
        <w:rPr>
          <w:b/>
          <w:bCs/>
        </w:rPr>
      </w:pPr>
      <w:r>
        <w:rPr>
          <w:b/>
          <w:bCs/>
        </w:rPr>
      </w:r>
    </w:p>
    <w:p>
      <w:pPr>
        <w:pStyle w:val="BodyText"/>
        <w:numPr>
          <w:ilvl w:val="0"/>
          <w:numId w:val="0"/>
        </w:numPr>
        <w:ind w:hanging="0" w:start="0"/>
        <w:rPr/>
      </w:pPr>
      <w:r>
        <w:rPr/>
        <w:t>All bids must be bona fide offers to acquire firm transportation service and, if qualified for consideration by Transwestern, shall be binding upon the party submitting the bid.  All bids will be kept confidential unless disclosure thereof is required by regulatory authorities or courts having jurisdiction over Transwestern.</w:t>
      </w:r>
    </w:p>
    <w:p>
      <w:pPr>
        <w:pStyle w:val="BodyText"/>
        <w:numPr>
          <w:ilvl w:val="0"/>
          <w:numId w:val="0"/>
        </w:numPr>
        <w:ind w:hanging="0" w:start="0"/>
        <w:rPr/>
      </w:pPr>
      <w:r>
        <w:rPr/>
      </w:r>
    </w:p>
    <w:p>
      <w:pPr>
        <w:pStyle w:val="BodyText"/>
        <w:numPr>
          <w:ilvl w:val="0"/>
          <w:numId w:val="0"/>
        </w:numPr>
        <w:ind w:hanging="0" w:start="0"/>
        <w:rPr/>
      </w:pPr>
      <w:r>
        <w:rPr/>
      </w:r>
    </w:p>
    <w:p>
      <w:pPr>
        <w:pStyle w:val="Heading2"/>
        <w:numPr>
          <w:ilvl w:val="0"/>
          <w:numId w:val="4"/>
        </w:numPr>
        <w:tabs>
          <w:tab w:val="clear" w:pos="720"/>
          <w:tab w:val="left" w:pos="0" w:leader="none"/>
          <w:tab w:val="left" w:pos="180" w:leader="none"/>
        </w:tabs>
        <w:ind w:hanging="720" w:start="1620" w:end="0"/>
        <w:rPr>
          <w:u w:val="none"/>
        </w:rPr>
      </w:pPr>
      <w:r>
        <w:rPr>
          <w:u w:val="none"/>
        </w:rPr>
        <w:t>Bid Evaluation Criteria</w:t>
      </w:r>
    </w:p>
    <w:p>
      <w:pPr>
        <w:pStyle w:val="Normal"/>
        <w:jc w:val="center"/>
        <w:rPr/>
      </w:pPr>
      <w:r>
        <w:rPr/>
      </w:r>
    </w:p>
    <w:p>
      <w:pPr>
        <w:pStyle w:val="FootnoteText"/>
        <w:numPr>
          <w:ilvl w:val="0"/>
          <w:numId w:val="5"/>
        </w:numPr>
        <w:tabs>
          <w:tab w:val="clear" w:pos="720"/>
          <w:tab w:val="left" w:pos="0" w:leader="none"/>
          <w:tab w:val="left" w:pos="360" w:leader="none"/>
        </w:tabs>
        <w:ind w:hanging="360" w:start="1080" w:end="0"/>
        <w:rPr/>
      </w:pPr>
      <w:r>
        <w:rPr/>
        <w:t>Qualifying Bids</w:t>
      </w:r>
    </w:p>
    <w:p>
      <w:pPr>
        <w:pStyle w:val="Normal"/>
        <w:rPr/>
      </w:pPr>
      <w:r>
        <w:rPr/>
      </w:r>
    </w:p>
    <w:p>
      <w:pPr>
        <w:pStyle w:val="BodyText2"/>
        <w:ind w:hanging="0" w:end="0"/>
        <w:rPr/>
      </w:pPr>
      <w:r>
        <w:rPr/>
        <w:t>A bid qualifies for consideration so long as it meets the following criteria.  Bidders are encouraged to contact Transwestern to resolve questions concerning these criteria.</w:t>
      </w:r>
    </w:p>
    <w:p>
      <w:pPr>
        <w:pStyle w:val="Normal"/>
        <w:ind w:firstLine="720" w:end="0"/>
        <w:rPr/>
      </w:pPr>
      <w:r>
        <w:rPr/>
      </w:r>
    </w:p>
    <w:p>
      <w:pPr>
        <w:pStyle w:val="Normal"/>
        <w:numPr>
          <w:ilvl w:val="0"/>
          <w:numId w:val="6"/>
        </w:numPr>
        <w:tabs>
          <w:tab w:val="clear" w:pos="720"/>
          <w:tab w:val="left" w:pos="0" w:leader="none"/>
          <w:tab w:val="left" w:pos="360" w:leader="none"/>
        </w:tabs>
        <w:ind w:hanging="720" w:start="1080" w:end="0"/>
        <w:jc w:val="both"/>
        <w:rPr/>
      </w:pPr>
      <w:r>
        <w:rPr>
          <w:sz w:val="24"/>
          <w:szCs w:val="24"/>
          <w:u w:val="single"/>
        </w:rPr>
        <w:t>Completeness</w:t>
      </w:r>
      <w:r>
        <w:rPr>
          <w:sz w:val="24"/>
          <w:szCs w:val="24"/>
        </w:rPr>
        <w:t>.  The bid must be fully responsive to this open season by including information for each item in the offer sheet (Attachment A to this announcement).</w:t>
      </w:r>
      <w:r>
        <w:rPr>
          <w:b/>
          <w:bCs/>
          <w:sz w:val="24"/>
          <w:szCs w:val="24"/>
        </w:rPr>
        <w:t xml:space="preserve"> All interested shippers should submit their bids in writing to Transwestern no later than 5:00 p.m. CST on Thursday, August 30, 2001.  </w:t>
      </w:r>
      <w:r>
        <w:rPr>
          <w:sz w:val="24"/>
          <w:szCs w:val="24"/>
        </w:rPr>
        <w:t>Please submit your requests by mail or fax to:</w:t>
      </w:r>
    </w:p>
    <w:p>
      <w:pPr>
        <w:pStyle w:val="Normal"/>
        <w:numPr>
          <w:ilvl w:val="0"/>
          <w:numId w:val="0"/>
        </w:numPr>
        <w:ind w:hanging="0" w:start="0"/>
        <w:jc w:val="both"/>
        <w:rPr>
          <w:sz w:val="24"/>
          <w:szCs w:val="24"/>
        </w:rPr>
      </w:pPr>
      <w:r>
        <w:rPr>
          <w:sz w:val="24"/>
          <w:szCs w:val="24"/>
        </w:rPr>
      </w:r>
    </w:p>
    <w:p>
      <w:pPr>
        <w:pStyle w:val="Normal"/>
        <w:numPr>
          <w:ilvl w:val="0"/>
          <w:numId w:val="0"/>
        </w:numPr>
        <w:ind w:hanging="0" w:start="0"/>
        <w:jc w:val="both"/>
        <w:rPr>
          <w:sz w:val="24"/>
          <w:szCs w:val="24"/>
        </w:rPr>
      </w:pPr>
      <w:r>
        <w:rPr>
          <w:sz w:val="24"/>
          <w:szCs w:val="24"/>
        </w:rPr>
        <w:tab/>
        <w:tab/>
        <w:tab/>
        <w:tab/>
        <w:t>Kevin Hyatt</w:t>
      </w:r>
    </w:p>
    <w:p>
      <w:pPr>
        <w:pStyle w:val="Normal"/>
        <w:numPr>
          <w:ilvl w:val="0"/>
          <w:numId w:val="0"/>
        </w:numPr>
        <w:ind w:hanging="0" w:start="0" w:end="0"/>
        <w:jc w:val="both"/>
        <w:rPr>
          <w:sz w:val="24"/>
          <w:szCs w:val="24"/>
        </w:rPr>
      </w:pPr>
      <w:r>
        <w:rPr>
          <w:sz w:val="24"/>
          <w:szCs w:val="24"/>
        </w:rPr>
        <w:tab/>
        <w:tab/>
        <w:tab/>
        <w:t>Transwestern Pipeline Company</w:t>
      </w:r>
    </w:p>
    <w:p>
      <w:pPr>
        <w:pStyle w:val="Heading3"/>
        <w:numPr>
          <w:ilvl w:val="0"/>
          <w:numId w:val="0"/>
        </w:numPr>
        <w:ind w:hanging="0" w:start="0"/>
        <w:rPr/>
      </w:pPr>
      <w:r>
        <w:rPr/>
        <w:tab/>
        <w:tab/>
        <w:tab/>
        <w:tab/>
        <w:t xml:space="preserve">P.O. Box 1188 </w:t>
      </w:r>
    </w:p>
    <w:p>
      <w:pPr>
        <w:pStyle w:val="Normal"/>
        <w:numPr>
          <w:ilvl w:val="0"/>
          <w:numId w:val="0"/>
        </w:numPr>
        <w:ind w:hanging="0" w:start="0"/>
        <w:jc w:val="both"/>
        <w:rPr>
          <w:sz w:val="24"/>
          <w:szCs w:val="24"/>
        </w:rPr>
      </w:pPr>
      <w:r>
        <w:rPr>
          <w:sz w:val="24"/>
          <w:szCs w:val="24"/>
        </w:rPr>
        <w:tab/>
        <w:tab/>
        <w:tab/>
        <w:tab/>
        <w:t>Suite 4150J</w:t>
      </w:r>
    </w:p>
    <w:p>
      <w:pPr>
        <w:pStyle w:val="Normal"/>
        <w:numPr>
          <w:ilvl w:val="0"/>
          <w:numId w:val="0"/>
        </w:numPr>
        <w:ind w:hanging="0" w:start="0"/>
        <w:jc w:val="both"/>
        <w:rPr>
          <w:sz w:val="24"/>
          <w:szCs w:val="24"/>
        </w:rPr>
      </w:pPr>
      <w:r>
        <w:rPr>
          <w:sz w:val="24"/>
          <w:szCs w:val="24"/>
        </w:rPr>
        <w:tab/>
        <w:tab/>
        <w:tab/>
        <w:tab/>
        <w:t>Houston, TX  77251-1188</w:t>
      </w:r>
    </w:p>
    <w:p>
      <w:pPr>
        <w:pStyle w:val="Normal"/>
        <w:numPr>
          <w:ilvl w:val="0"/>
          <w:numId w:val="0"/>
        </w:numPr>
        <w:ind w:hanging="0" w:start="0"/>
        <w:jc w:val="both"/>
        <w:rPr>
          <w:sz w:val="24"/>
          <w:szCs w:val="24"/>
        </w:rPr>
      </w:pPr>
      <w:r>
        <w:rPr>
          <w:sz w:val="24"/>
          <w:szCs w:val="24"/>
        </w:rPr>
        <w:tab/>
        <w:tab/>
        <w:tab/>
        <w:tab/>
        <w:t>Phone: 713.853.5559</w:t>
        <w:tab/>
        <w:tab/>
        <w:tab/>
        <w:t>Fax: 713.646.4095</w:t>
      </w:r>
    </w:p>
    <w:p>
      <w:pPr>
        <w:pStyle w:val="Normal"/>
        <w:numPr>
          <w:ilvl w:val="0"/>
          <w:numId w:val="0"/>
        </w:numPr>
        <w:ind w:hanging="0" w:start="0"/>
        <w:jc w:val="both"/>
        <w:rPr>
          <w:sz w:val="24"/>
          <w:szCs w:val="24"/>
        </w:rPr>
      </w:pPr>
      <w:r>
        <w:rPr>
          <w:sz w:val="24"/>
          <w:szCs w:val="24"/>
        </w:rPr>
        <w:tab/>
        <w:tab/>
        <w:tab/>
        <w:tab/>
        <w:t>kevin.hyatt@enron.com</w:t>
      </w:r>
    </w:p>
    <w:p>
      <w:pPr>
        <w:pStyle w:val="Normal"/>
        <w:numPr>
          <w:ilvl w:val="0"/>
          <w:numId w:val="0"/>
        </w:numPr>
        <w:ind w:hanging="0" w:start="0"/>
        <w:jc w:val="both"/>
        <w:rPr>
          <w:sz w:val="24"/>
          <w:szCs w:val="24"/>
        </w:rPr>
      </w:pPr>
      <w:r>
        <w:rPr>
          <w:sz w:val="24"/>
          <w:szCs w:val="24"/>
        </w:rPr>
      </w:r>
    </w:p>
    <w:p>
      <w:pPr>
        <w:pStyle w:val="Normal"/>
        <w:numPr>
          <w:ilvl w:val="0"/>
          <w:numId w:val="0"/>
        </w:numPr>
        <w:ind w:hanging="0" w:start="360" w:end="0"/>
        <w:rPr>
          <w:sz w:val="24"/>
          <w:szCs w:val="24"/>
        </w:rPr>
      </w:pPr>
      <w:r>
        <w:rPr>
          <w:sz w:val="24"/>
          <w:szCs w:val="24"/>
        </w:rPr>
      </w:r>
    </w:p>
    <w:p>
      <w:pPr>
        <w:pStyle w:val="Normal"/>
        <w:numPr>
          <w:ilvl w:val="0"/>
          <w:numId w:val="6"/>
        </w:numPr>
        <w:tabs>
          <w:tab w:val="clear" w:pos="720"/>
          <w:tab w:val="left" w:pos="0" w:leader="none"/>
          <w:tab w:val="left" w:pos="360" w:leader="none"/>
        </w:tabs>
        <w:ind w:hanging="720" w:start="1080" w:end="0"/>
        <w:rPr/>
      </w:pPr>
      <w:r>
        <w:rPr>
          <w:sz w:val="24"/>
          <w:szCs w:val="24"/>
          <w:u w:val="single"/>
        </w:rPr>
        <w:t>Creditworthiness</w:t>
      </w:r>
      <w:r>
        <w:rPr>
          <w:sz w:val="24"/>
          <w:szCs w:val="24"/>
        </w:rPr>
        <w:t>.  The bidder must meet all of the Creditworthiness standards of  Section 13 of the General Terms and Conditions ("GT&amp;C") of Transwestern’s Tariff.</w:t>
      </w:r>
    </w:p>
    <w:p>
      <w:pPr>
        <w:pStyle w:val="Normal"/>
        <w:numPr>
          <w:ilvl w:val="0"/>
          <w:numId w:val="0"/>
        </w:numPr>
        <w:ind w:hanging="0" w:start="360" w:end="0"/>
        <w:rPr>
          <w:sz w:val="24"/>
          <w:szCs w:val="24"/>
        </w:rPr>
      </w:pPr>
      <w:r>
        <w:rPr>
          <w:sz w:val="24"/>
          <w:szCs w:val="24"/>
        </w:rPr>
      </w:r>
    </w:p>
    <w:p>
      <w:pPr>
        <w:pStyle w:val="Normal"/>
        <w:numPr>
          <w:ilvl w:val="0"/>
          <w:numId w:val="6"/>
        </w:numPr>
        <w:tabs>
          <w:tab w:val="clear" w:pos="720"/>
          <w:tab w:val="left" w:pos="0" w:leader="none"/>
          <w:tab w:val="left" w:pos="360" w:leader="none"/>
        </w:tabs>
        <w:ind w:hanging="720" w:start="1080" w:end="0"/>
        <w:rPr/>
      </w:pPr>
      <w:r>
        <w:rPr>
          <w:sz w:val="24"/>
          <w:szCs w:val="24"/>
          <w:u w:val="single"/>
        </w:rPr>
        <w:t>Contingencies</w:t>
      </w:r>
      <w:r>
        <w:rPr>
          <w:sz w:val="24"/>
          <w:szCs w:val="24"/>
        </w:rPr>
        <w:t>.  The bidder may include any contingency or condition that bidder considers necessary and appropriate in the offer sheet (Attachment A).  Because Transwestern cannot anticipate all contingencies that would either disqualify a bid or substantially reduce the value of a bid, Transwestern reserves the right to evaluate all bids with contingencies and rank such bids according to Transwestern’s reasonable judgment.</w:t>
      </w:r>
    </w:p>
    <w:p>
      <w:pPr>
        <w:pStyle w:val="Normal"/>
        <w:rPr/>
      </w:pPr>
      <w:r>
        <w:rPr/>
      </w:r>
    </w:p>
    <w:p>
      <w:pPr>
        <w:pStyle w:val="Normal"/>
        <w:rPr/>
      </w:pPr>
      <w:r>
        <w:rPr/>
      </w:r>
    </w:p>
    <w:p>
      <w:pPr>
        <w:pStyle w:val="FootnoteText"/>
        <w:rPr/>
      </w:pPr>
      <w:r>
        <w:rPr/>
        <w:t>B.</w:t>
        <w:tab/>
        <w:t>NPV Ranking Process</w:t>
      </w:r>
    </w:p>
    <w:p>
      <w:pPr>
        <w:pStyle w:val="Normal"/>
        <w:rPr/>
      </w:pPr>
      <w:r>
        <w:rPr/>
      </w:r>
    </w:p>
    <w:p>
      <w:pPr>
        <w:pStyle w:val="BodyText2"/>
        <w:ind w:hanging="0" w:end="0"/>
        <w:rPr>
          <w:b/>
          <w:bCs/>
        </w:rPr>
      </w:pPr>
      <w:r>
        <w:rPr/>
        <w:t xml:space="preserve">Among bids that qualify under Part A, Transwestern will rank bids from highest to lowest according to net present value ("NPV").  Transwestern will calculate the revenue stream from the MAXDTQ and reservation rate indicated on the offer sheets received.  To calculate the NPV, Transwestern will use the interest rate published by FERC for purposes of refunds and carrying charges pursuant to section 154.501(d) of the Commission’s regulations (18 C.F.R. § 154.501(d)).  This rate will be used as the discount rate for the annual present value factors.  </w:t>
      </w:r>
    </w:p>
    <w:p>
      <w:pPr>
        <w:pStyle w:val="Normal"/>
        <w:ind w:firstLine="720" w:end="0"/>
        <w:rPr>
          <w:b/>
          <w:bCs/>
        </w:rPr>
      </w:pPr>
      <w:r>
        <w:rPr>
          <w:b/>
          <w:bCs/>
        </w:rPr>
      </w:r>
    </w:p>
    <w:p>
      <w:pPr>
        <w:pStyle w:val="FootnoteText"/>
        <w:widowControl w:val="false"/>
        <w:rPr/>
      </w:pPr>
      <w:r>
        <w:rPr/>
        <w:t>C.</w:t>
        <w:tab/>
        <w:t>Ranking Bids with Equal NPV Results</w:t>
      </w:r>
    </w:p>
    <w:p>
      <w:pPr>
        <w:pStyle w:val="Normal"/>
        <w:widowControl w:val="false"/>
        <w:rPr/>
      </w:pPr>
      <w:r>
        <w:rPr/>
      </w:r>
    </w:p>
    <w:p>
      <w:pPr>
        <w:pStyle w:val="BodyText2"/>
        <w:widowControl w:val="false"/>
        <w:ind w:hanging="0" w:end="0"/>
        <w:rPr/>
      </w:pPr>
      <w:r>
        <w:rPr/>
        <w:t>In the event that Transwestern receives two or more single qualified bids that have equal NPV, and insufficient capacity exists to satisfy all such bids, all tying bidders shall be assigned a pro rata share of the firm capacity requested.  Bidders should state the minimum amount of capacity they are willing to be allocated in the event of tying NPV bids.</w:t>
      </w:r>
    </w:p>
    <w:p>
      <w:pPr>
        <w:pStyle w:val="BodyText2"/>
        <w:widowControl w:val="false"/>
        <w:rPr/>
      </w:pPr>
      <w:r>
        <w:rPr/>
      </w:r>
    </w:p>
    <w:p>
      <w:pPr>
        <w:pStyle w:val="BodyText2"/>
        <w:widowControl w:val="false"/>
        <w:ind w:hanging="0" w:end="0"/>
        <w:rPr/>
      </w:pPr>
      <w:r>
        <w:rPr/>
        <w:t>D.</w:t>
        <w:tab/>
        <w:t>Procedure to Award Capacity</w:t>
      </w:r>
    </w:p>
    <w:p>
      <w:pPr>
        <w:pStyle w:val="BodyText2"/>
        <w:widowControl w:val="false"/>
        <w:ind w:hanging="0" w:end="0"/>
        <w:rPr/>
      </w:pPr>
      <w:r>
        <w:rPr/>
      </w:r>
    </w:p>
    <w:p>
      <w:pPr>
        <w:pStyle w:val="BodyText2"/>
        <w:widowControl w:val="false"/>
        <w:ind w:hanging="0" w:end="0"/>
        <w:rPr>
          <w:b/>
          <w:bCs/>
        </w:rPr>
      </w:pPr>
      <w:r>
        <w:rPr/>
        <w:t>After ranking all qualified bids that meet the economic threshold, the bidder(s) offering the highest-ranking bid(s) shall be awarded all capacity sought in the bid(s).  If any capacity remains available, the bidder offering the next highest ranking bid shall be awarded such capacity, up to the quantity of capacity sought by the bidder.</w:t>
      </w:r>
    </w:p>
    <w:p>
      <w:pPr>
        <w:pStyle w:val="BodyText2"/>
        <w:widowControl w:val="false"/>
        <w:rPr>
          <w:b/>
          <w:bCs/>
        </w:rPr>
      </w:pPr>
      <w:r>
        <w:rPr>
          <w:b/>
          <w:bCs/>
        </w:rPr>
      </w:r>
    </w:p>
    <w:p>
      <w:pPr>
        <w:pStyle w:val="BodyText2"/>
        <w:widowControl w:val="false"/>
        <w:ind w:hanging="0" w:end="0"/>
        <w:rPr/>
      </w:pPr>
      <w:r>
        <w:rPr/>
        <w:t>Upon the close of the open season, Transwestern will assess the interest in the proposed pipeline under the terms specified herein and will determine whether to award capacity based on the open season nominations received, execute firm service agreements, and proceed toward obtaining approval to construct the necessary facilities.  Any award of capacity pursuant to the open season will not be unduly discriminatory or preferential.  Transwestern reserves the right to not make any capacity available; to choose to conduct additional open seasons; to determine the size, scope and cost of the project; and to not proceed with the project.</w:t>
      </w:r>
    </w:p>
    <w:p>
      <w:pPr>
        <w:pStyle w:val="BodyText2"/>
        <w:keepNext w:val="true"/>
        <w:keepLines/>
        <w:widowControl w:val="false"/>
        <w:rPr/>
      </w:pPr>
      <w:r>
        <w:rPr/>
      </w:r>
    </w:p>
    <w:p>
      <w:pPr>
        <w:pStyle w:val="BodyText2"/>
        <w:keepNext w:val="true"/>
        <w:keepLines/>
        <w:widowControl w:val="false"/>
        <w:rPr/>
      </w:pPr>
      <w:r>
        <w:rPr/>
      </w:r>
    </w:p>
    <w:p>
      <w:pPr>
        <w:pStyle w:val="BodyText2"/>
        <w:keepNext w:val="true"/>
        <w:keepLines/>
        <w:widowControl w:val="false"/>
        <w:ind w:hanging="0" w:start="90" w:end="0"/>
        <w:jc w:val="start"/>
        <w:rPr>
          <w:b/>
          <w:bCs/>
        </w:rPr>
      </w:pPr>
      <w:r>
        <w:rPr>
          <w:b/>
          <w:bCs/>
        </w:rPr>
        <w:t>V.</w:t>
        <w:tab/>
        <w:t>Notification of Awarded Capacity</w:t>
      </w:r>
    </w:p>
    <w:p>
      <w:pPr>
        <w:pStyle w:val="BodyText2"/>
        <w:keepNext w:val="true"/>
        <w:keepLines/>
        <w:widowControl w:val="false"/>
        <w:jc w:val="center"/>
        <w:rPr/>
      </w:pPr>
      <w:r>
        <w:rPr/>
      </w:r>
    </w:p>
    <w:p>
      <w:pPr>
        <w:pStyle w:val="BodyText2"/>
        <w:keepNext w:val="true"/>
        <w:keepLines/>
        <w:widowControl w:val="false"/>
        <w:ind w:hanging="0" w:end="0"/>
        <w:rPr/>
      </w:pPr>
      <w:r>
        <w:rPr/>
        <w:t xml:space="preserve">Transwestern will notify any bidder to which capacity is awarded as soon as practicable after the close of the open season.  </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Heading4"/>
        <w:ind w:hanging="0" w:start="0"/>
        <w:rPr/>
      </w:pPr>
      <w:r>
        <w:rPr/>
        <w:t>VI.</w:t>
        <w:tab/>
        <w:t>Capacity Turn-back</w:t>
      </w:r>
    </w:p>
    <w:p>
      <w:pPr>
        <w:pStyle w:val="Normal"/>
        <w:jc w:val="both"/>
        <w:rPr>
          <w:sz w:val="24"/>
          <w:szCs w:val="24"/>
        </w:rPr>
      </w:pPr>
      <w:r>
        <w:rPr>
          <w:sz w:val="24"/>
          <w:szCs w:val="24"/>
        </w:rPr>
      </w:r>
    </w:p>
    <w:p>
      <w:pPr>
        <w:pStyle w:val="Normal"/>
        <w:jc w:val="both"/>
        <w:rPr>
          <w:sz w:val="24"/>
          <w:szCs w:val="24"/>
        </w:rPr>
      </w:pPr>
      <w:r>
        <w:rPr>
          <w:sz w:val="24"/>
          <w:szCs w:val="24"/>
        </w:rPr>
        <w:t>Additionally, to help determine the size of the expansion, Transwestern is soliciting written requests from firm shippers holding capacity from Thoreau to the California border on the mainline or from Blanco to Thoreau on the San Juan Lateral who are interested in turning back such capacity.  Transwestern’s analysis of turn-back offers will be based on the requests for service which Transwestern has received and which remain unsatisfied, the timing of the turn-back (the date on which the shipper commits such capacity is available to Transwestern), the project scope, the operational requirements, whether the turn-back capacity would reduce the need to construct pipeline facilities in order to satisfy requests received, and the remaining term of the agreement for the turn-back capacity.</w:t>
      </w:r>
    </w:p>
    <w:p>
      <w:pPr>
        <w:pStyle w:val="Normal"/>
        <w:jc w:val="both"/>
        <w:rPr>
          <w:sz w:val="24"/>
          <w:szCs w:val="24"/>
        </w:rPr>
      </w:pPr>
      <w:r>
        <w:rPr>
          <w:sz w:val="24"/>
          <w:szCs w:val="24"/>
        </w:rPr>
      </w:r>
    </w:p>
    <w:p>
      <w:pPr>
        <w:pStyle w:val="Normal"/>
        <w:jc w:val="both"/>
        <w:rPr>
          <w:sz w:val="24"/>
          <w:szCs w:val="24"/>
        </w:rPr>
      </w:pPr>
      <w:r>
        <w:rPr>
          <w:sz w:val="24"/>
          <w:szCs w:val="24"/>
        </w:rPr>
        <w:t xml:space="preserve"> </w:t>
      </w:r>
      <w:r>
        <w:rPr>
          <w:sz w:val="24"/>
          <w:szCs w:val="24"/>
        </w:rPr>
        <w:t>In addition, because releases of capacity may impact the economics of pipeline project(s) as a whole, all offers to turn back capacity will be further analyzed based upon whether or not the turn-back capacity will make the project(s) economically viable.  In the event certain capacity cannot be utilized for any project, or in the event the project or projects for which the turn-back capacity was to have been utilized are not constructed for any reason, such capacity shall remain subject to the terms of the existing service agreement between shipper and Transwestern.</w:t>
      </w:r>
    </w:p>
    <w:p>
      <w:pPr>
        <w:pStyle w:val="Normal"/>
        <w:jc w:val="both"/>
        <w:rPr>
          <w:sz w:val="24"/>
          <w:szCs w:val="24"/>
        </w:rPr>
      </w:pPr>
      <w:r>
        <w:rPr>
          <w:sz w:val="24"/>
          <w:szCs w:val="24"/>
        </w:rPr>
      </w:r>
    </w:p>
    <w:p>
      <w:pPr>
        <w:pStyle w:val="Normal"/>
        <w:jc w:val="both"/>
        <w:rPr>
          <w:sz w:val="24"/>
          <w:szCs w:val="24"/>
        </w:rPr>
      </w:pPr>
      <w:r>
        <w:rPr>
          <w:sz w:val="24"/>
          <w:szCs w:val="24"/>
        </w:rPr>
        <w:t>All such turn-back requests should be submitted to Kevin Hyatt no later than 5:00 p.m. CST on Thursday, August 30, 2001.</w:t>
      </w:r>
    </w:p>
    <w:p>
      <w:pPr>
        <w:pStyle w:val="Normal"/>
        <w:jc w:val="both"/>
        <w:rPr>
          <w:sz w:val="24"/>
          <w:szCs w:val="24"/>
        </w:rPr>
      </w:pPr>
      <w:r>
        <w:rPr>
          <w:sz w:val="24"/>
          <w:szCs w:val="24"/>
        </w:rPr>
      </w:r>
    </w:p>
    <w:p>
      <w:pPr>
        <w:pStyle w:val="Normal"/>
        <w:jc w:val="both"/>
        <w:rPr>
          <w:sz w:val="24"/>
          <w:szCs w:val="24"/>
        </w:rPr>
      </w:pPr>
      <w:r>
        <w:rPr>
          <w:sz w:val="24"/>
          <w:szCs w:val="24"/>
        </w:rPr>
      </w:r>
    </w:p>
    <w:p>
      <w:pPr>
        <w:pStyle w:val="FootnoteText"/>
        <w:rPr>
          <w:b/>
          <w:bCs/>
        </w:rPr>
      </w:pPr>
      <w:r>
        <w:rPr>
          <w:b/>
          <w:bCs/>
        </w:rPr>
        <w:t>VII.</w:t>
        <w:tab/>
        <w:t>Termination</w:t>
      </w:r>
    </w:p>
    <w:p>
      <w:pPr>
        <w:pStyle w:val="Normal"/>
        <w:jc w:val="both"/>
        <w:rPr>
          <w:b/>
          <w:bCs/>
          <w:sz w:val="24"/>
          <w:szCs w:val="24"/>
        </w:rPr>
      </w:pPr>
      <w:r>
        <w:rPr>
          <w:b/>
          <w:bCs/>
          <w:sz w:val="24"/>
          <w:szCs w:val="24"/>
        </w:rPr>
      </w:r>
    </w:p>
    <w:p>
      <w:pPr>
        <w:pStyle w:val="Normal"/>
        <w:jc w:val="both"/>
        <w:rPr>
          <w:sz w:val="24"/>
          <w:szCs w:val="24"/>
        </w:rPr>
      </w:pPr>
      <w:r>
        <w:rPr>
          <w:sz w:val="24"/>
          <w:szCs w:val="24"/>
        </w:rPr>
        <w:t>If for any reason a winning bidder fails to execute a firm transportation agreement, Transwestern reserves the right at any time thereafter to terminate the bidder’s right to the awarded capacity and to offer the capacity to another bidder in the queue with the next highest bid, if none, to another prospective buyer willing to execute a service agreement.</w:t>
      </w:r>
    </w:p>
    <w:p>
      <w:pPr>
        <w:pStyle w:val="Normal"/>
        <w:jc w:val="both"/>
        <w:rPr>
          <w:sz w:val="24"/>
          <w:szCs w:val="24"/>
        </w:rPr>
      </w:pPr>
      <w:r>
        <w:rPr>
          <w:sz w:val="24"/>
          <w:szCs w:val="24"/>
        </w:rPr>
      </w:r>
    </w:p>
    <w:p>
      <w:pPr>
        <w:pStyle w:val="Normal"/>
        <w:jc w:val="both"/>
        <w:rPr>
          <w:sz w:val="24"/>
          <w:szCs w:val="24"/>
        </w:rPr>
      </w:pPr>
      <w:r>
        <w:rPr>
          <w:sz w:val="24"/>
          <w:szCs w:val="24"/>
        </w:rPr>
        <w:t>Transwestern will implement the expansion subject to certain conditions including, but not limited to, reasonable economic justification, receipt of necessary regulatory approvals, and firm transportation commitments for a term adequate to justify the project.  Participation in any resulting expansion of facilities would be subject to execution of a definitive firm transportation agreement containing terms and conditions mutually acceptable to Transwestern and the participating shipper.</w:t>
      </w:r>
    </w:p>
    <w:p>
      <w:pPr>
        <w:pStyle w:val="Normal"/>
        <w:jc w:val="both"/>
        <w:rPr>
          <w:sz w:val="24"/>
          <w:szCs w:val="24"/>
        </w:rPr>
      </w:pPr>
      <w:r>
        <w:rPr>
          <w:sz w:val="24"/>
          <w:szCs w:val="24"/>
        </w:rPr>
      </w:r>
    </w:p>
    <w:p>
      <w:pPr>
        <w:pStyle w:val="WW-BodyText2"/>
        <w:rPr/>
      </w:pPr>
      <w:r>
        <w:rPr/>
        <w:t>Shippers with questions should contact their Marketing Representative or Kevin Hyatt, Director of Asset Development at 713-853-5559.  Marketing representatives:</w:t>
      </w:r>
    </w:p>
    <w:p>
      <w:pPr>
        <w:pStyle w:val="WW-BodyText2"/>
        <w:rPr/>
      </w:pPr>
      <w:r>
        <w:rPr/>
      </w:r>
    </w:p>
    <w:p>
      <w:pPr>
        <w:pStyle w:val="Normal"/>
        <w:ind w:firstLine="720" w:end="0"/>
        <w:jc w:val="both"/>
        <w:rPr>
          <w:sz w:val="24"/>
          <w:szCs w:val="24"/>
        </w:rPr>
      </w:pPr>
      <w:r>
        <w:rPr>
          <w:sz w:val="24"/>
          <w:szCs w:val="24"/>
        </w:rPr>
        <w:t xml:space="preserve">Lorraine Lindberg </w:t>
        <w:tab/>
        <w:t>(713) 853-5403</w:t>
        <w:tab/>
        <w:t>Michelle Lokay       (713) 345-7932</w:t>
      </w:r>
    </w:p>
    <w:p>
      <w:pPr>
        <w:pStyle w:val="Normal"/>
        <w:ind w:firstLine="720" w:end="0"/>
        <w:jc w:val="both"/>
        <w:rPr>
          <w:sz w:val="24"/>
          <w:szCs w:val="24"/>
        </w:rPr>
      </w:pPr>
      <w:r>
        <w:rPr>
          <w:sz w:val="24"/>
          <w:szCs w:val="24"/>
        </w:rPr>
        <w:t>Kim Watson</w:t>
        <w:tab/>
        <w:tab/>
        <w:t>(713) 853-3098</w:t>
      </w:r>
    </w:p>
    <w:p>
      <w:pPr>
        <w:pStyle w:val="Normal"/>
        <w:ind w:firstLine="720" w:end="0"/>
        <w:jc w:val="both"/>
        <w:rPr>
          <w:sz w:val="24"/>
          <w:szCs w:val="24"/>
        </w:rPr>
      </w:pPr>
      <w:r>
        <w:rPr>
          <w:sz w:val="24"/>
          <w:szCs w:val="24"/>
        </w:rPr>
      </w:r>
    </w:p>
    <w:p>
      <w:pPr>
        <w:pStyle w:val="WW-BodyText2"/>
        <w:jc w:val="center"/>
        <w:rPr>
          <w:i/>
          <w:i/>
          <w:iCs/>
          <w:sz w:val="28"/>
          <w:szCs w:val="28"/>
        </w:rPr>
      </w:pPr>
      <w:r>
        <w:rPr>
          <w:i/>
          <w:iCs/>
          <w:sz w:val="28"/>
          <w:szCs w:val="28"/>
        </w:rPr>
        <w:t>Media inquiries should be directed to Sarah Haden at 713-345-3383</w:t>
      </w:r>
    </w:p>
    <w:p>
      <w:pPr>
        <w:pStyle w:val="WW-BodyText2"/>
        <w:jc w:val="center"/>
        <w:rPr>
          <w:i/>
          <w:i/>
          <w:iCs/>
          <w:sz w:val="28"/>
          <w:szCs w:val="28"/>
        </w:rPr>
      </w:pPr>
      <w:r>
        <w:rPr>
          <w:i/>
          <w:iCs/>
          <w:sz w:val="28"/>
          <w:szCs w:val="28"/>
        </w:rPr>
      </w:r>
    </w:p>
    <w:p>
      <w:pPr>
        <w:pStyle w:val="WW-BodyText2"/>
        <w:jc w:val="center"/>
        <w:rPr/>
      </w:pPr>
      <w:r>
        <w:rPr/>
      </w:r>
    </w:p>
    <w:p>
      <w:pPr>
        <w:pStyle w:val="WW-BodyText2"/>
        <w:jc w:val="center"/>
        <w:rPr/>
      </w:pPr>
      <w:r>
        <w:rPr/>
      </w:r>
    </w:p>
    <w:p>
      <w:pPr>
        <w:pStyle w:val="BodyText2"/>
        <w:keepNext w:val="true"/>
        <w:keepLines/>
        <w:widowControl w:val="false"/>
        <w:ind w:hanging="0" w:end="0"/>
        <w:rPr>
          <w:b/>
          <w:bCs/>
        </w:rPr>
      </w:pPr>
      <w:r>
        <w:rPr>
          <w:b/>
          <w:bCs/>
        </w:rPr>
        <w:t>FAX TO: 713-646-4095</w:t>
      </w:r>
    </w:p>
    <w:p>
      <w:pPr>
        <w:pStyle w:val="BodyText2"/>
        <w:keepNext w:val="true"/>
        <w:keepLines/>
        <w:widowControl w:val="false"/>
        <w:ind w:hanging="0" w:end="0"/>
        <w:jc w:val="center"/>
        <w:rPr>
          <w:b/>
          <w:bCs/>
        </w:rPr>
      </w:pPr>
      <w:r>
        <w:rPr>
          <w:b/>
          <w:bCs/>
        </w:rPr>
        <w:t>Attachment A</w:t>
      </w:r>
    </w:p>
    <w:p>
      <w:pPr>
        <w:pStyle w:val="BodyText2"/>
        <w:keepNext w:val="true"/>
        <w:keepLines/>
        <w:widowControl w:val="false"/>
        <w:ind w:hanging="0" w:end="0"/>
        <w:jc w:val="center"/>
        <w:rPr>
          <w:b/>
          <w:bCs/>
        </w:rPr>
      </w:pPr>
      <w:r>
        <w:rPr>
          <w:b/>
          <w:bCs/>
        </w:rPr>
        <w:t>Transwestern Pipeline Company</w:t>
      </w:r>
    </w:p>
    <w:p>
      <w:pPr>
        <w:pStyle w:val="BodyText2"/>
        <w:keepNext w:val="true"/>
        <w:keepLines/>
        <w:widowControl w:val="false"/>
        <w:ind w:hanging="0" w:end="0"/>
        <w:jc w:val="center"/>
        <w:rPr>
          <w:b/>
          <w:bCs/>
        </w:rPr>
      </w:pPr>
      <w:r>
        <w:rPr>
          <w:b/>
          <w:bCs/>
        </w:rPr>
        <w:t>Offer Sheet</w:t>
      </w:r>
    </w:p>
    <w:p>
      <w:pPr>
        <w:pStyle w:val="BodyText2"/>
        <w:keepNext w:val="true"/>
        <w:keepLines/>
        <w:widowControl w:val="false"/>
        <w:ind w:hanging="0" w:end="0"/>
        <w:jc w:val="center"/>
        <w:rPr/>
      </w:pPr>
      <w:r>
        <w:rPr/>
      </w:r>
    </w:p>
    <w:p>
      <w:pPr>
        <w:pStyle w:val="BodyText2"/>
        <w:keepNext w:val="true"/>
        <w:keepLines/>
        <w:widowControl w:val="false"/>
        <w:ind w:hanging="0" w:end="0"/>
        <w:jc w:val="center"/>
        <w:rPr/>
      </w:pPr>
      <w:r>
        <w:rPr/>
      </w:r>
    </w:p>
    <w:p>
      <w:pPr>
        <w:pStyle w:val="BodyText2"/>
        <w:keepNext w:val="true"/>
        <w:keepLines/>
        <w:widowControl w:val="false"/>
        <w:numPr>
          <w:ilvl w:val="0"/>
          <w:numId w:val="7"/>
        </w:numPr>
        <w:tabs>
          <w:tab w:val="clear" w:pos="720"/>
          <w:tab w:val="left" w:pos="0" w:leader="none"/>
          <w:tab w:val="left" w:pos="360" w:leader="none"/>
        </w:tabs>
        <w:ind w:hanging="720" w:start="1080" w:end="0"/>
        <w:rPr/>
      </w:pPr>
      <w:r>
        <w:rPr/>
        <w:t xml:space="preserve">Bidder Name: ______________________________________ </w:t>
      </w:r>
    </w:p>
    <w:p>
      <w:pPr>
        <w:pStyle w:val="BodyText2"/>
        <w:keepNext w:val="true"/>
        <w:keepLines/>
        <w:widowControl w:val="false"/>
        <w:numPr>
          <w:ilvl w:val="0"/>
          <w:numId w:val="0"/>
        </w:numPr>
        <w:ind w:hanging="0" w:start="0" w:end="0"/>
        <w:rPr/>
      </w:pPr>
      <w:r>
        <w:rPr/>
      </w:r>
    </w:p>
    <w:p>
      <w:pPr>
        <w:pStyle w:val="BodyText2"/>
        <w:keepNext w:val="true"/>
        <w:keepLines/>
        <w:widowControl w:val="false"/>
        <w:numPr>
          <w:ilvl w:val="0"/>
          <w:numId w:val="0"/>
        </w:numPr>
        <w:ind w:hanging="0" w:start="0" w:end="0"/>
        <w:rPr/>
      </w:pPr>
      <w:r>
        <w:rPr/>
      </w:r>
    </w:p>
    <w:p>
      <w:pPr>
        <w:pStyle w:val="BodyText2"/>
        <w:keepNext w:val="true"/>
        <w:keepLines/>
        <w:widowControl w:val="false"/>
        <w:numPr>
          <w:ilvl w:val="0"/>
          <w:numId w:val="7"/>
        </w:numPr>
        <w:tabs>
          <w:tab w:val="clear" w:pos="720"/>
          <w:tab w:val="left" w:pos="0" w:leader="none"/>
          <w:tab w:val="left" w:pos="360" w:leader="none"/>
        </w:tabs>
        <w:ind w:hanging="360" w:start="1080" w:end="0"/>
        <w:rPr/>
      </w:pPr>
      <w:r>
        <w:rPr/>
        <w:t>Offer for FT Service:</w:t>
      </w:r>
    </w:p>
    <w:p>
      <w:pPr>
        <w:pStyle w:val="BodyText2"/>
        <w:keepNext w:val="true"/>
        <w:keepLines/>
        <w:widowControl w:val="false"/>
        <w:ind w:hanging="0" w:start="360" w:end="0"/>
        <w:rPr/>
      </w:pPr>
      <w:r>
        <w:rPr/>
      </w:r>
    </w:p>
    <w:tbl>
      <w:tblPr>
        <w:tblW w:w="9648" w:type="dxa"/>
        <w:jc w:val="start"/>
        <w:tblInd w:w="360" w:type="dxa"/>
        <w:tblLayout w:type="fixed"/>
        <w:tblCellMar>
          <w:top w:w="0" w:type="dxa"/>
          <w:start w:w="108" w:type="dxa"/>
          <w:bottom w:w="0" w:type="dxa"/>
          <w:end w:w="108" w:type="dxa"/>
        </w:tblCellMar>
      </w:tblPr>
      <w:tblGrid>
        <w:gridCol w:w="1125"/>
        <w:gridCol w:w="1163"/>
        <w:gridCol w:w="1510"/>
        <w:gridCol w:w="1197"/>
        <w:gridCol w:w="1111"/>
        <w:gridCol w:w="1111"/>
        <w:gridCol w:w="1158"/>
        <w:gridCol w:w="1273"/>
      </w:tblGrid>
      <w:tr>
        <w:trPr/>
        <w:tc>
          <w:tcPr>
            <w:tcW w:w="1125"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rPr>
                <w:b/>
                <w:bCs/>
                <w:sz w:val="20"/>
                <w:szCs w:val="20"/>
              </w:rPr>
            </w:pPr>
            <w:r>
              <w:rPr>
                <w:b/>
                <w:bCs/>
                <w:sz w:val="20"/>
                <w:szCs w:val="20"/>
              </w:rPr>
              <w:t>Path</w:t>
            </w:r>
          </w:p>
          <w:p>
            <w:pPr>
              <w:pStyle w:val="BodyText2"/>
              <w:keepNext w:val="true"/>
              <w:keepLines/>
              <w:widowControl w:val="false"/>
              <w:tabs>
                <w:tab w:val="left" w:pos="720" w:leader="none"/>
              </w:tabs>
              <w:ind w:hanging="0" w:end="0"/>
              <w:rPr>
                <w:b/>
                <w:bCs/>
                <w:sz w:val="20"/>
                <w:szCs w:val="20"/>
              </w:rPr>
            </w:pPr>
            <w:r>
              <w:rPr>
                <w:b/>
                <w:bCs/>
                <w:sz w:val="20"/>
                <w:szCs w:val="20"/>
              </w:rPr>
            </w:r>
          </w:p>
          <w:p>
            <w:pPr>
              <w:pStyle w:val="BodyText2"/>
              <w:keepNext w:val="true"/>
              <w:keepLines/>
              <w:widowControl w:val="false"/>
              <w:tabs>
                <w:tab w:val="left" w:pos="720" w:leader="none"/>
              </w:tabs>
              <w:ind w:hanging="0" w:end="0"/>
              <w:rPr>
                <w:b/>
                <w:bCs/>
                <w:sz w:val="20"/>
                <w:szCs w:val="20"/>
              </w:rPr>
            </w:pPr>
            <w:r>
              <w:rPr>
                <w:b/>
                <w:bCs/>
                <w:sz w:val="20"/>
                <w:szCs w:val="20"/>
              </w:rPr>
            </w:r>
          </w:p>
          <w:p>
            <w:pPr>
              <w:pStyle w:val="BodyText2"/>
              <w:keepNext w:val="true"/>
              <w:keepLines/>
              <w:widowControl w:val="false"/>
              <w:tabs>
                <w:tab w:val="left" w:pos="720" w:leader="none"/>
              </w:tabs>
              <w:ind w:hanging="0" w:end="0"/>
              <w:rPr>
                <w:b/>
                <w:bCs/>
                <w:sz w:val="20"/>
                <w:szCs w:val="20"/>
              </w:rPr>
            </w:pPr>
            <w:r>
              <w:rPr>
                <w:b/>
                <w:bCs/>
                <w:sz w:val="20"/>
                <w:szCs w:val="20"/>
              </w:rPr>
              <w:t>From:</w:t>
            </w:r>
          </w:p>
        </w:tc>
        <w:tc>
          <w:tcPr>
            <w:tcW w:w="116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b/>
                <w:bCs/>
                <w:sz w:val="20"/>
                <w:szCs w:val="20"/>
              </w:rPr>
            </w:pPr>
            <w:r>
              <w:rPr>
                <w:b/>
                <w:bCs/>
                <w:sz w:val="20"/>
                <w:szCs w:val="20"/>
              </w:rPr>
            </w:r>
          </w:p>
          <w:p>
            <w:pPr>
              <w:pStyle w:val="BodyText2"/>
              <w:keepNext w:val="true"/>
              <w:keepLines/>
              <w:widowControl w:val="false"/>
              <w:tabs>
                <w:tab w:val="left" w:pos="720" w:leader="none"/>
              </w:tabs>
              <w:ind w:hanging="0" w:end="0"/>
              <w:rPr>
                <w:b/>
                <w:bCs/>
                <w:sz w:val="20"/>
                <w:szCs w:val="20"/>
              </w:rPr>
            </w:pPr>
            <w:r>
              <w:rPr>
                <w:b/>
                <w:bCs/>
                <w:sz w:val="20"/>
                <w:szCs w:val="20"/>
              </w:rPr>
            </w:r>
          </w:p>
          <w:p>
            <w:pPr>
              <w:pStyle w:val="BodyText2"/>
              <w:keepNext w:val="true"/>
              <w:keepLines/>
              <w:widowControl w:val="false"/>
              <w:tabs>
                <w:tab w:val="left" w:pos="720" w:leader="none"/>
              </w:tabs>
              <w:ind w:hanging="0" w:end="0"/>
              <w:rPr>
                <w:b/>
                <w:bCs/>
                <w:sz w:val="20"/>
                <w:szCs w:val="20"/>
              </w:rPr>
            </w:pPr>
            <w:r>
              <w:rPr>
                <w:b/>
                <w:bCs/>
                <w:sz w:val="20"/>
                <w:szCs w:val="20"/>
              </w:rPr>
            </w:r>
          </w:p>
          <w:p>
            <w:pPr>
              <w:pStyle w:val="BodyText2"/>
              <w:keepNext w:val="true"/>
              <w:keepLines/>
              <w:widowControl w:val="false"/>
              <w:tabs>
                <w:tab w:val="left" w:pos="720" w:leader="none"/>
              </w:tabs>
              <w:ind w:hanging="0" w:end="0"/>
              <w:rPr>
                <w:b/>
                <w:bCs/>
                <w:sz w:val="20"/>
                <w:szCs w:val="20"/>
              </w:rPr>
            </w:pPr>
            <w:r>
              <w:rPr>
                <w:b/>
                <w:bCs/>
                <w:sz w:val="20"/>
                <w:szCs w:val="20"/>
              </w:rPr>
              <w:t>To:</w:t>
            </w:r>
          </w:p>
        </w:tc>
        <w:tc>
          <w:tcPr>
            <w:tcW w:w="1510"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jc w:val="center"/>
              <w:rPr>
                <w:b/>
                <w:bCs/>
                <w:sz w:val="20"/>
                <w:szCs w:val="20"/>
              </w:rPr>
            </w:pPr>
            <w:r>
              <w:rPr>
                <w:b/>
                <w:bCs/>
                <w:sz w:val="20"/>
                <w:szCs w:val="20"/>
              </w:rPr>
            </w:r>
          </w:p>
          <w:p>
            <w:pPr>
              <w:pStyle w:val="BodyText2"/>
              <w:keepNext w:val="true"/>
              <w:keepLines/>
              <w:widowControl w:val="false"/>
              <w:tabs>
                <w:tab w:val="left" w:pos="720" w:leader="none"/>
              </w:tabs>
              <w:ind w:hanging="0" w:end="0"/>
              <w:jc w:val="center"/>
              <w:rPr>
                <w:b/>
                <w:bCs/>
                <w:sz w:val="20"/>
                <w:szCs w:val="20"/>
              </w:rPr>
            </w:pPr>
            <w:r>
              <w:rPr>
                <w:b/>
                <w:bCs/>
                <w:sz w:val="20"/>
                <w:szCs w:val="20"/>
              </w:rPr>
              <w:t>Est. Max Resv. Rate $/Dth/day</w:t>
            </w:r>
          </w:p>
        </w:tc>
        <w:tc>
          <w:tcPr>
            <w:tcW w:w="1197"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jc w:val="center"/>
              <w:rPr>
                <w:b/>
                <w:bCs/>
                <w:sz w:val="20"/>
                <w:szCs w:val="20"/>
              </w:rPr>
            </w:pPr>
            <w:r>
              <w:rPr>
                <w:b/>
                <w:bCs/>
                <w:sz w:val="20"/>
                <w:szCs w:val="20"/>
              </w:rPr>
            </w:r>
          </w:p>
          <w:p>
            <w:pPr>
              <w:pStyle w:val="BodyText2"/>
              <w:keepNext w:val="true"/>
              <w:keepLines/>
              <w:widowControl w:val="false"/>
              <w:tabs>
                <w:tab w:val="left" w:pos="720" w:leader="none"/>
              </w:tabs>
              <w:ind w:hanging="0" w:end="0"/>
              <w:jc w:val="center"/>
              <w:rPr>
                <w:b/>
                <w:bCs/>
                <w:sz w:val="20"/>
                <w:szCs w:val="20"/>
              </w:rPr>
            </w:pPr>
            <w:r>
              <w:rPr>
                <w:b/>
                <w:bCs/>
                <w:sz w:val="20"/>
                <w:szCs w:val="20"/>
              </w:rPr>
              <w:t>Bid % of Est. Max Resv. Rate</w:t>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jc w:val="center"/>
              <w:rPr>
                <w:b/>
                <w:bCs/>
                <w:sz w:val="20"/>
                <w:szCs w:val="20"/>
              </w:rPr>
            </w:pPr>
            <w:r>
              <w:rPr>
                <w:b/>
                <w:bCs/>
                <w:sz w:val="20"/>
                <w:szCs w:val="20"/>
              </w:rPr>
            </w:r>
          </w:p>
          <w:p>
            <w:pPr>
              <w:pStyle w:val="BodyText2"/>
              <w:keepNext w:val="true"/>
              <w:keepLines/>
              <w:widowControl w:val="false"/>
              <w:tabs>
                <w:tab w:val="left" w:pos="720" w:leader="none"/>
              </w:tabs>
              <w:ind w:hanging="0" w:end="0"/>
              <w:jc w:val="center"/>
              <w:rPr>
                <w:b/>
                <w:bCs/>
                <w:sz w:val="20"/>
                <w:szCs w:val="20"/>
              </w:rPr>
            </w:pPr>
            <w:r>
              <w:rPr>
                <w:b/>
                <w:bCs/>
                <w:sz w:val="20"/>
                <w:szCs w:val="20"/>
              </w:rPr>
              <w:t>Term Start Date</w:t>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jc w:val="center"/>
              <w:rPr>
                <w:b/>
                <w:bCs/>
                <w:sz w:val="20"/>
                <w:szCs w:val="20"/>
              </w:rPr>
            </w:pPr>
            <w:r>
              <w:rPr>
                <w:b/>
                <w:bCs/>
                <w:sz w:val="20"/>
                <w:szCs w:val="20"/>
              </w:rPr>
            </w:r>
          </w:p>
          <w:p>
            <w:pPr>
              <w:pStyle w:val="BodyText2"/>
              <w:keepNext w:val="true"/>
              <w:keepLines/>
              <w:widowControl w:val="false"/>
              <w:tabs>
                <w:tab w:val="left" w:pos="720" w:leader="none"/>
              </w:tabs>
              <w:ind w:hanging="0" w:end="0"/>
              <w:jc w:val="center"/>
              <w:rPr>
                <w:b/>
                <w:bCs/>
                <w:sz w:val="20"/>
                <w:szCs w:val="20"/>
              </w:rPr>
            </w:pPr>
            <w:r>
              <w:rPr>
                <w:b/>
                <w:bCs/>
                <w:sz w:val="20"/>
                <w:szCs w:val="20"/>
              </w:rPr>
              <w:t>Term End Date</w:t>
            </w:r>
          </w:p>
        </w:tc>
        <w:tc>
          <w:tcPr>
            <w:tcW w:w="1158"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jc w:val="center"/>
              <w:rPr>
                <w:b/>
                <w:bCs/>
                <w:sz w:val="20"/>
                <w:szCs w:val="20"/>
              </w:rPr>
            </w:pPr>
            <w:r>
              <w:rPr>
                <w:b/>
                <w:bCs/>
                <w:sz w:val="20"/>
                <w:szCs w:val="20"/>
              </w:rPr>
            </w:r>
          </w:p>
          <w:p>
            <w:pPr>
              <w:pStyle w:val="BodyText2"/>
              <w:keepNext w:val="true"/>
              <w:keepLines/>
              <w:widowControl w:val="false"/>
              <w:tabs>
                <w:tab w:val="left" w:pos="720" w:leader="none"/>
              </w:tabs>
              <w:ind w:hanging="0" w:end="0"/>
              <w:jc w:val="center"/>
              <w:rPr>
                <w:b/>
                <w:bCs/>
                <w:sz w:val="20"/>
                <w:szCs w:val="20"/>
              </w:rPr>
            </w:pPr>
            <w:r>
              <w:rPr>
                <w:b/>
                <w:bCs/>
                <w:sz w:val="20"/>
                <w:szCs w:val="20"/>
              </w:rPr>
              <w:t>Max. DTQ Dth/day</w:t>
            </w:r>
          </w:p>
        </w:tc>
        <w:tc>
          <w:tcPr>
            <w:tcW w:w="127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jc w:val="center"/>
              <w:rPr>
                <w:b/>
                <w:bCs/>
                <w:sz w:val="20"/>
                <w:szCs w:val="20"/>
              </w:rPr>
            </w:pPr>
            <w:r>
              <w:rPr>
                <w:b/>
                <w:bCs/>
                <w:sz w:val="20"/>
                <w:szCs w:val="20"/>
              </w:rPr>
            </w:r>
          </w:p>
          <w:p>
            <w:pPr>
              <w:pStyle w:val="BodyText2"/>
              <w:keepNext w:val="true"/>
              <w:keepLines/>
              <w:widowControl w:val="false"/>
              <w:tabs>
                <w:tab w:val="left" w:pos="720" w:leader="none"/>
              </w:tabs>
              <w:ind w:hanging="0" w:end="0"/>
              <w:jc w:val="center"/>
              <w:rPr>
                <w:b/>
                <w:bCs/>
                <w:sz w:val="20"/>
                <w:szCs w:val="20"/>
              </w:rPr>
            </w:pPr>
            <w:r>
              <w:rPr>
                <w:b/>
                <w:bCs/>
                <w:sz w:val="20"/>
                <w:szCs w:val="20"/>
              </w:rPr>
              <w:t>Min. DTQ Dth/day (1)</w:t>
            </w:r>
          </w:p>
        </w:tc>
      </w:tr>
      <w:tr>
        <w:trPr/>
        <w:tc>
          <w:tcPr>
            <w:tcW w:w="1125"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rPr>
                <w:sz w:val="20"/>
                <w:szCs w:val="20"/>
              </w:rPr>
            </w:pPr>
            <w:r>
              <w:rPr>
                <w:sz w:val="20"/>
                <w:szCs w:val="20"/>
              </w:rPr>
              <w:t>San Juan</w:t>
            </w:r>
          </w:p>
        </w:tc>
        <w:tc>
          <w:tcPr>
            <w:tcW w:w="116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jc w:val="start"/>
              <w:rPr>
                <w:sz w:val="20"/>
                <w:szCs w:val="20"/>
              </w:rPr>
            </w:pPr>
            <w:r>
              <w:rPr>
                <w:sz w:val="20"/>
                <w:szCs w:val="20"/>
              </w:rPr>
              <w:t>Thoreau</w:t>
            </w:r>
          </w:p>
        </w:tc>
        <w:tc>
          <w:tcPr>
            <w:tcW w:w="1510"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rPr/>
            </w:pPr>
            <w:r>
              <w:rPr/>
              <w:t>$.0985</w:t>
            </w:r>
          </w:p>
        </w:tc>
        <w:tc>
          <w:tcPr>
            <w:tcW w:w="1197"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58"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27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r>
      <w:tr>
        <w:trPr/>
        <w:tc>
          <w:tcPr>
            <w:tcW w:w="1125"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rPr>
                <w:sz w:val="20"/>
                <w:szCs w:val="20"/>
              </w:rPr>
            </w:pPr>
            <w:r>
              <w:rPr>
                <w:sz w:val="20"/>
                <w:szCs w:val="20"/>
              </w:rPr>
              <w:t>Thoreau</w:t>
            </w:r>
          </w:p>
        </w:tc>
        <w:tc>
          <w:tcPr>
            <w:tcW w:w="116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jc w:val="start"/>
              <w:rPr>
                <w:sz w:val="20"/>
                <w:szCs w:val="20"/>
              </w:rPr>
            </w:pPr>
            <w:r>
              <w:rPr>
                <w:sz w:val="20"/>
                <w:szCs w:val="20"/>
              </w:rPr>
              <w:t>California</w:t>
            </w:r>
          </w:p>
        </w:tc>
        <w:tc>
          <w:tcPr>
            <w:tcW w:w="1510"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rPr/>
            </w:pPr>
            <w:r>
              <w:rPr/>
              <w:t>$.240</w:t>
            </w:r>
          </w:p>
        </w:tc>
        <w:tc>
          <w:tcPr>
            <w:tcW w:w="1197"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58"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27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r>
      <w:tr>
        <w:trPr/>
        <w:tc>
          <w:tcPr>
            <w:tcW w:w="1125"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rPr>
                <w:sz w:val="20"/>
                <w:szCs w:val="20"/>
              </w:rPr>
            </w:pPr>
            <w:r>
              <w:rPr>
                <w:sz w:val="20"/>
                <w:szCs w:val="20"/>
              </w:rPr>
              <w:t>Thoreau</w:t>
            </w:r>
          </w:p>
        </w:tc>
        <w:tc>
          <w:tcPr>
            <w:tcW w:w="116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jc w:val="start"/>
              <w:rPr>
                <w:sz w:val="20"/>
                <w:szCs w:val="20"/>
              </w:rPr>
            </w:pPr>
            <w:r>
              <w:rPr>
                <w:sz w:val="20"/>
                <w:szCs w:val="20"/>
              </w:rPr>
              <w:t>Phoenix</w:t>
            </w:r>
          </w:p>
        </w:tc>
        <w:tc>
          <w:tcPr>
            <w:tcW w:w="1510"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rPr/>
            </w:pPr>
            <w:r>
              <w:rPr/>
              <w:t>$.454</w:t>
            </w:r>
          </w:p>
        </w:tc>
        <w:tc>
          <w:tcPr>
            <w:tcW w:w="1197"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58"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27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r>
      <w:tr>
        <w:trPr/>
        <w:tc>
          <w:tcPr>
            <w:tcW w:w="1125"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sz w:val="20"/>
                <w:szCs w:val="20"/>
              </w:rPr>
            </w:pPr>
            <w:r>
              <w:rPr>
                <w:sz w:val="20"/>
                <w:szCs w:val="20"/>
              </w:rPr>
            </w:r>
          </w:p>
        </w:tc>
        <w:tc>
          <w:tcPr>
            <w:tcW w:w="116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jc w:val="start"/>
              <w:rPr>
                <w:sz w:val="20"/>
                <w:szCs w:val="20"/>
              </w:rPr>
            </w:pPr>
            <w:r>
              <w:rPr>
                <w:sz w:val="20"/>
                <w:szCs w:val="20"/>
              </w:rPr>
            </w:r>
          </w:p>
        </w:tc>
        <w:tc>
          <w:tcPr>
            <w:tcW w:w="1510"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sz w:val="20"/>
                <w:szCs w:val="20"/>
              </w:rPr>
            </w:pPr>
            <w:r>
              <w:rPr>
                <w:sz w:val="20"/>
                <w:szCs w:val="20"/>
              </w:rPr>
            </w:r>
          </w:p>
        </w:tc>
        <w:tc>
          <w:tcPr>
            <w:tcW w:w="1197"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58"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27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r>
    </w:tbl>
    <w:p>
      <w:pPr>
        <w:pStyle w:val="BodyText2"/>
        <w:keepNext w:val="true"/>
        <w:keepLines/>
        <w:widowControl w:val="false"/>
        <w:ind w:hanging="0" w:end="0"/>
        <w:rPr/>
      </w:pPr>
      <w:r>
        <w:rPr/>
      </w:r>
    </w:p>
    <w:p>
      <w:pPr>
        <w:pStyle w:val="BodyText2"/>
        <w:keepNext w:val="true"/>
        <w:keepLines/>
        <w:widowControl w:val="false"/>
        <w:rPr/>
      </w:pPr>
      <w:r>
        <w:rPr/>
        <w:t>(1) Minimum bidder is willing to accept in the event of an allocation.</w:t>
      </w:r>
    </w:p>
    <w:p>
      <w:pPr>
        <w:pStyle w:val="BodyText2"/>
        <w:keepNext w:val="true"/>
        <w:keepLines/>
        <w:widowControl w:val="false"/>
        <w:ind w:hanging="0" w:start="720" w:end="0"/>
        <w:rPr/>
      </w:pPr>
      <w:r>
        <w:rPr/>
        <w:t>Note:  Bidder may specify as many separate rate periods as desired, provided such periods are for an entire year.</w:t>
      </w:r>
    </w:p>
    <w:p>
      <w:pPr>
        <w:pStyle w:val="BodyText2"/>
        <w:keepNext w:val="true"/>
        <w:keepLines/>
        <w:widowControl w:val="false"/>
        <w:ind w:hanging="0" w:start="720" w:end="0"/>
        <w:rPr/>
      </w:pPr>
      <w:r>
        <w:rPr/>
      </w:r>
    </w:p>
    <w:p>
      <w:pPr>
        <w:pStyle w:val="BodyText2"/>
        <w:keepNext w:val="true"/>
        <w:keepLines/>
        <w:widowControl w:val="false"/>
        <w:ind w:hanging="0" w:start="720" w:end="0"/>
        <w:rPr/>
      </w:pPr>
      <w:r>
        <w:rPr/>
      </w:r>
    </w:p>
    <w:p>
      <w:pPr>
        <w:pStyle w:val="BodyText2"/>
        <w:keepNext w:val="true"/>
        <w:keepLines/>
        <w:widowControl w:val="false"/>
        <w:ind w:hanging="0" w:start="360" w:end="0"/>
        <w:rPr/>
      </w:pPr>
      <w:r>
        <w:rPr/>
        <w:t>3.</w:t>
        <w:tab/>
        <w:t>Receipt Points:</w:t>
      </w:r>
    </w:p>
    <w:p>
      <w:pPr>
        <w:pStyle w:val="BodyText2"/>
        <w:keepNext w:val="true"/>
        <w:keepLines/>
        <w:widowControl w:val="false"/>
        <w:ind w:hanging="0" w:start="720" w:end="0"/>
        <w:rPr/>
      </w:pPr>
      <w:r>
        <w:rPr/>
        <w:t>________________________________________________________________________________________________________________________________________________</w:t>
      </w:r>
    </w:p>
    <w:p>
      <w:pPr>
        <w:pStyle w:val="BodyText2"/>
        <w:keepNext w:val="true"/>
        <w:keepLines/>
        <w:widowControl w:val="false"/>
        <w:ind w:hanging="0" w:start="720" w:end="0"/>
        <w:rPr/>
      </w:pPr>
      <w:r>
        <w:rPr/>
      </w:r>
    </w:p>
    <w:p>
      <w:pPr>
        <w:pStyle w:val="BodyText2"/>
        <w:keepNext w:val="true"/>
        <w:keepLines/>
        <w:widowControl w:val="false"/>
        <w:ind w:hanging="0" w:end="0"/>
        <w:jc w:val="start"/>
        <w:rPr/>
      </w:pPr>
      <w:r>
        <w:rPr/>
      </w:r>
    </w:p>
    <w:p>
      <w:pPr>
        <w:pStyle w:val="BodyText2"/>
        <w:keepNext w:val="true"/>
        <w:keepLines/>
        <w:widowControl w:val="false"/>
        <w:ind w:hanging="0" w:start="360" w:end="0"/>
        <w:rPr/>
      </w:pPr>
      <w:r>
        <w:rPr/>
        <w:t>4.</w:t>
        <w:tab/>
        <w:t>Delivery Points:</w:t>
      </w:r>
    </w:p>
    <w:p>
      <w:pPr>
        <w:pStyle w:val="BodyText2"/>
        <w:keepNext w:val="true"/>
        <w:keepLines/>
        <w:widowControl w:val="false"/>
        <w:ind w:start="720" w:end="0"/>
        <w:rPr/>
      </w:pPr>
      <w:r>
        <w:rPr/>
        <w:t>San Juan / Thoreau, POI #56709</w:t>
      </w:r>
    </w:p>
    <w:p>
      <w:pPr>
        <w:pStyle w:val="BodyText2"/>
        <w:keepNext w:val="true"/>
        <w:keepLines/>
        <w:widowControl w:val="false"/>
        <w:ind w:start="720" w:end="0"/>
        <w:rPr/>
      </w:pPr>
      <w:r>
        <w:rPr/>
      </w:r>
    </w:p>
    <w:p>
      <w:pPr>
        <w:pStyle w:val="BodyText2"/>
        <w:keepNext w:val="true"/>
        <w:keepLines/>
        <w:widowControl w:val="false"/>
        <w:ind w:hanging="0" w:start="1440" w:end="0"/>
        <w:rPr/>
      </w:pPr>
      <w:r>
        <w:rPr/>
        <w:t>California Border and East of California:</w:t>
      </w:r>
    </w:p>
    <w:p>
      <w:pPr>
        <w:pStyle w:val="BodyText2"/>
        <w:keepNext w:val="true"/>
        <w:keepLines/>
        <w:widowControl w:val="false"/>
        <w:ind w:start="1440" w:end="0"/>
        <w:rPr/>
      </w:pPr>
      <w:r>
        <w:rPr/>
        <w:t>SoCal Needles, POI #0010487*</w:t>
      </w:r>
    </w:p>
    <w:p>
      <w:pPr>
        <w:pStyle w:val="BodyText2"/>
        <w:keepNext w:val="true"/>
        <w:keepLines/>
        <w:widowControl w:val="false"/>
        <w:ind w:start="1440" w:end="0"/>
        <w:rPr/>
      </w:pPr>
      <w:r>
        <w:rPr/>
        <w:t xml:space="preserve">PG&amp;E/ Topock, POI #56698 </w:t>
      </w:r>
    </w:p>
    <w:p>
      <w:pPr>
        <w:pStyle w:val="BodyText2"/>
        <w:keepNext w:val="true"/>
        <w:keepLines/>
        <w:widowControl w:val="false"/>
        <w:ind w:start="1440" w:end="0"/>
        <w:rPr/>
      </w:pPr>
      <w:r>
        <w:rPr/>
        <w:t>Mojave Topock, POI #56696</w:t>
      </w:r>
    </w:p>
    <w:p>
      <w:pPr>
        <w:pStyle w:val="BodyText2"/>
        <w:keepNext w:val="true"/>
        <w:keepLines/>
        <w:widowControl w:val="false"/>
        <w:ind w:start="1440" w:end="0"/>
        <w:rPr/>
      </w:pPr>
      <w:r>
        <w:rPr/>
        <w:t>Calpine/Southpoint, POI #78113</w:t>
      </w:r>
    </w:p>
    <w:p>
      <w:pPr>
        <w:pStyle w:val="BodyText2"/>
        <w:keepNext w:val="true"/>
        <w:keepLines/>
        <w:widowControl w:val="false"/>
        <w:ind w:start="1440" w:end="0"/>
        <w:rPr/>
      </w:pPr>
      <w:r>
        <w:rPr/>
        <w:t>Citizens/Griffith, POI #78069</w:t>
      </w:r>
    </w:p>
    <w:p>
      <w:pPr>
        <w:pStyle w:val="BodyText2"/>
        <w:keepNext w:val="true"/>
        <w:keepLines/>
        <w:widowControl w:val="false"/>
        <w:ind w:start="1440" w:end="0"/>
        <w:rPr/>
      </w:pPr>
      <w:r>
        <w:rPr/>
        <w:t>Southwest Gas, POI #78003</w:t>
      </w:r>
    </w:p>
    <w:p>
      <w:pPr>
        <w:pStyle w:val="BodyText2"/>
        <w:keepNext w:val="true"/>
        <w:keepLines/>
        <w:widowControl w:val="false"/>
        <w:ind w:start="1440" w:end="0"/>
        <w:rPr/>
      </w:pPr>
      <w:r>
        <w:rPr/>
        <w:t>Caithness/Big Sandy POI# (to be determined)</w:t>
      </w:r>
    </w:p>
    <w:p>
      <w:pPr>
        <w:pStyle w:val="BodyText2"/>
        <w:keepNext w:val="true"/>
        <w:keepLines/>
        <w:widowControl w:val="false"/>
        <w:ind w:start="1440" w:end="0"/>
        <w:rPr/>
      </w:pPr>
      <w:r>
        <w:rPr/>
      </w:r>
    </w:p>
    <w:p>
      <w:pPr>
        <w:pStyle w:val="BodyText2"/>
        <w:keepNext w:val="true"/>
        <w:keepLines/>
        <w:widowControl w:val="false"/>
        <w:ind w:start="720" w:end="0"/>
        <w:rPr/>
      </w:pPr>
      <w:r>
        <w:rPr/>
        <w:t>Phoenix, POI# (to be determined)</w:t>
      </w:r>
    </w:p>
    <w:p>
      <w:pPr>
        <w:pStyle w:val="BodyText2"/>
        <w:keepNext w:val="true"/>
        <w:keepLines/>
        <w:widowControl w:val="false"/>
        <w:ind w:hanging="0" w:start="720" w:end="0"/>
        <w:rPr/>
      </w:pPr>
      <w:r>
        <w:rPr/>
      </w:r>
    </w:p>
    <w:p>
      <w:pPr>
        <w:pStyle w:val="BodyText2"/>
        <w:keepNext w:val="true"/>
        <w:keepLines/>
        <w:widowControl w:val="false"/>
        <w:ind w:hanging="0" w:start="720" w:end="0"/>
        <w:rPr/>
      </w:pPr>
      <w:r>
        <w:rPr/>
      </w:r>
    </w:p>
    <w:p>
      <w:pPr>
        <w:pStyle w:val="BodyText2"/>
        <w:keepNext w:val="true"/>
        <w:keepLines/>
        <w:widowControl w:val="false"/>
        <w:ind w:hanging="0" w:start="720" w:end="0"/>
        <w:rPr/>
      </w:pPr>
      <w:r>
        <w:rPr/>
      </w:r>
    </w:p>
    <w:p>
      <w:pPr>
        <w:pStyle w:val="BodyText2"/>
        <w:keepNext w:val="true"/>
        <w:keepLines/>
        <w:widowControl w:val="false"/>
        <w:ind w:hanging="0" w:start="720" w:end="0"/>
        <w:rPr/>
      </w:pPr>
      <w:r>
        <w:rPr/>
      </w:r>
    </w:p>
    <w:p>
      <w:pPr>
        <w:pStyle w:val="BodyText2"/>
        <w:keepNext w:val="true"/>
        <w:keepLines/>
        <w:widowControl w:val="false"/>
        <w:ind w:hanging="0" w:end="0"/>
        <w:jc w:val="center"/>
        <w:rPr>
          <w:b/>
          <w:bCs/>
        </w:rPr>
      </w:pPr>
      <w:r>
        <w:rPr>
          <w:b/>
          <w:bCs/>
        </w:rPr>
        <w:t>Attachment A</w:t>
      </w:r>
    </w:p>
    <w:p>
      <w:pPr>
        <w:pStyle w:val="BodyText2"/>
        <w:keepNext w:val="true"/>
        <w:keepLines/>
        <w:widowControl w:val="false"/>
        <w:ind w:hanging="0" w:end="0"/>
        <w:jc w:val="center"/>
        <w:rPr>
          <w:b/>
          <w:bCs/>
        </w:rPr>
      </w:pPr>
      <w:r>
        <w:rPr>
          <w:b/>
          <w:bCs/>
        </w:rPr>
        <w:t>Transwestern Pipeline Company</w:t>
      </w:r>
    </w:p>
    <w:p>
      <w:pPr>
        <w:pStyle w:val="BodyText2"/>
        <w:keepNext w:val="true"/>
        <w:keepLines/>
        <w:widowControl w:val="false"/>
        <w:ind w:hanging="0" w:end="0"/>
        <w:jc w:val="center"/>
        <w:rPr>
          <w:b/>
          <w:bCs/>
        </w:rPr>
      </w:pPr>
      <w:r>
        <w:rPr>
          <w:b/>
          <w:bCs/>
        </w:rPr>
        <w:t>Offer Sheet (Page 2)</w:t>
      </w:r>
    </w:p>
    <w:p>
      <w:pPr>
        <w:pStyle w:val="BodyText2"/>
        <w:keepNext w:val="true"/>
        <w:keepLines/>
        <w:widowControl w:val="false"/>
        <w:ind w:hanging="0" w:start="720" w:end="0"/>
        <w:rPr>
          <w:b/>
          <w:bCs/>
        </w:rPr>
      </w:pPr>
      <w:r>
        <w:rPr>
          <w:b/>
          <w:bCs/>
        </w:rPr>
      </w:r>
    </w:p>
    <w:p>
      <w:pPr>
        <w:pStyle w:val="BodyText2"/>
        <w:keepNext w:val="true"/>
        <w:keepLines/>
        <w:widowControl w:val="false"/>
        <w:ind w:hanging="0" w:start="720" w:end="0"/>
        <w:rPr/>
      </w:pPr>
      <w:r>
        <w:rPr/>
        <w:t>If multiple delivery points are selected, indicate maximum volume for each point.</w:t>
      </w:r>
    </w:p>
    <w:p>
      <w:pPr>
        <w:pStyle w:val="BodyText2"/>
        <w:keepNext w:val="true"/>
        <w:keepLines/>
        <w:widowControl w:val="false"/>
        <w:ind w:hanging="0" w:start="720" w:end="0"/>
        <w:rPr/>
      </w:pPr>
      <w:r>
        <w:rPr/>
        <w:t>*Subject to the availability of additional delivery point (take-away) capacity</w:t>
      </w:r>
    </w:p>
    <w:p>
      <w:pPr>
        <w:pStyle w:val="BodyText2"/>
        <w:keepNext w:val="true"/>
        <w:keepLines/>
        <w:widowControl w:val="false"/>
        <w:ind w:hanging="0" w:start="720" w:end="0"/>
        <w:rPr/>
      </w:pPr>
      <w:r>
        <w:rPr/>
      </w:r>
    </w:p>
    <w:p>
      <w:pPr>
        <w:pStyle w:val="BodyText2"/>
        <w:keepNext w:val="true"/>
        <w:keepLines/>
        <w:widowControl w:val="false"/>
        <w:ind w:hanging="0" w:start="720" w:end="0"/>
        <w:rPr/>
      </w:pPr>
      <w:r>
        <w:rPr/>
      </w:r>
    </w:p>
    <w:p>
      <w:pPr>
        <w:pStyle w:val="BodyText2"/>
        <w:keepNext w:val="true"/>
        <w:keepLines/>
        <w:widowControl w:val="false"/>
        <w:tabs>
          <w:tab w:val="left" w:pos="720" w:leader="none"/>
        </w:tabs>
        <w:ind w:hanging="0" w:end="0"/>
        <w:rPr/>
      </w:pPr>
      <w:r>
        <w:rPr/>
        <w:t>5.</w:t>
        <w:tab/>
        <w:t>In order for this bid response to qualify for consideration, the following must be attached:</w:t>
      </w:r>
    </w:p>
    <w:p>
      <w:pPr>
        <w:pStyle w:val="BodyText2"/>
        <w:keepNext w:val="true"/>
        <w:keepLines/>
        <w:widowControl w:val="false"/>
        <w:ind w:hanging="0" w:end="0"/>
        <w:rPr/>
      </w:pPr>
      <w:r>
        <w:rPr/>
      </w:r>
    </w:p>
    <w:p>
      <w:pPr>
        <w:pStyle w:val="BodyText2"/>
        <w:keepNext w:val="true"/>
        <w:keepLines/>
        <w:widowControl w:val="false"/>
        <w:numPr>
          <w:ilvl w:val="0"/>
          <w:numId w:val="8"/>
        </w:numPr>
        <w:tabs>
          <w:tab w:val="clear" w:pos="720"/>
          <w:tab w:val="left" w:pos="0" w:leader="none"/>
          <w:tab w:val="left" w:pos="1080" w:leader="none"/>
        </w:tabs>
        <w:ind w:hanging="1080" w:start="1800" w:end="0"/>
        <w:rPr/>
      </w:pPr>
      <w:r>
        <w:rPr/>
        <w:t>a sheet listing conditions, if any, to this offer;</w:t>
      </w:r>
    </w:p>
    <w:p>
      <w:pPr>
        <w:pStyle w:val="BodyText2"/>
        <w:keepNext w:val="true"/>
        <w:keepLines/>
        <w:widowControl w:val="false"/>
        <w:numPr>
          <w:ilvl w:val="0"/>
          <w:numId w:val="0"/>
        </w:numPr>
        <w:ind w:hanging="0" w:start="0"/>
        <w:rPr/>
      </w:pPr>
      <w:r>
        <w:rPr/>
      </w:r>
    </w:p>
    <w:p>
      <w:pPr>
        <w:pStyle w:val="BodyText2"/>
        <w:keepNext w:val="true"/>
        <w:keepLines/>
        <w:widowControl w:val="false"/>
        <w:numPr>
          <w:ilvl w:val="0"/>
          <w:numId w:val="8"/>
        </w:numPr>
        <w:tabs>
          <w:tab w:val="clear" w:pos="720"/>
          <w:tab w:val="left" w:pos="0" w:leader="none"/>
          <w:tab w:val="left" w:pos="1080" w:leader="none"/>
        </w:tabs>
        <w:ind w:hanging="360" w:start="1800" w:end="0"/>
        <w:rPr/>
      </w:pPr>
      <w:r>
        <w:rPr/>
        <w:t>an executed Request for Gas Transportation Service form (located on TW’s website at www.tw.enron.com)</w:t>
      </w:r>
    </w:p>
    <w:p>
      <w:pPr>
        <w:pStyle w:val="BodyText2"/>
        <w:keepNext w:val="true"/>
        <w:keepLines/>
        <w:widowControl w:val="false"/>
        <w:ind w:hanging="0" w:end="0"/>
        <w:rPr/>
      </w:pPr>
      <w:r>
        <w:rPr/>
      </w:r>
    </w:p>
    <w:p>
      <w:pPr>
        <w:pStyle w:val="BodyText2"/>
        <w:keepNext w:val="true"/>
        <w:keepLines/>
        <w:widowControl w:val="false"/>
        <w:ind w:hanging="0" w:end="0"/>
        <w:rPr/>
      </w:pPr>
      <w:r>
        <w:rPr/>
      </w:r>
    </w:p>
    <w:p>
      <w:pPr>
        <w:pStyle w:val="BodyText2"/>
        <w:keepNext w:val="true"/>
        <w:keepLines/>
        <w:widowControl w:val="false"/>
        <w:rPr/>
      </w:pPr>
      <w:r>
        <w:rPr/>
      </w:r>
    </w:p>
    <w:p>
      <w:pPr>
        <w:pStyle w:val="BodyText2"/>
        <w:keepNext w:val="true"/>
        <w:keepLines/>
        <w:widowControl w:val="false"/>
        <w:ind w:hanging="0" w:end="0"/>
        <w:rPr/>
      </w:pPr>
      <w:r>
        <w:rPr/>
        <w:t>Signed:</w:t>
      </w:r>
    </w:p>
    <w:p>
      <w:pPr>
        <w:pStyle w:val="BodyText2"/>
        <w:keepNext w:val="true"/>
        <w:keepLines/>
        <w:widowControl w:val="false"/>
        <w:ind w:hanging="0" w:end="0"/>
        <w:rPr/>
      </w:pPr>
      <w:r>
        <w:rPr/>
      </w:r>
    </w:p>
    <w:p>
      <w:pPr>
        <w:pStyle w:val="BodyText2"/>
        <w:keepNext w:val="true"/>
        <w:keepLines/>
        <w:widowControl w:val="false"/>
        <w:ind w:hanging="0" w:end="0"/>
        <w:rPr/>
      </w:pPr>
      <w:r>
        <w:rPr/>
        <w:t xml:space="preserve">_______________________________ </w:t>
      </w:r>
    </w:p>
    <w:p>
      <w:pPr>
        <w:pStyle w:val="BodyText2"/>
        <w:keepNext w:val="true"/>
        <w:keepLines/>
        <w:widowControl w:val="false"/>
        <w:ind w:hanging="0" w:end="0"/>
        <w:rPr/>
      </w:pPr>
      <w:r>
        <w:rPr/>
      </w:r>
    </w:p>
    <w:p>
      <w:pPr>
        <w:pStyle w:val="BodyText2"/>
        <w:keepNext w:val="true"/>
        <w:keepLines/>
        <w:widowControl w:val="false"/>
        <w:ind w:hanging="0" w:end="0"/>
        <w:rPr/>
      </w:pPr>
      <w:r>
        <w:rPr/>
        <w:t>Printed Name:____________________</w:t>
      </w:r>
    </w:p>
    <w:p>
      <w:pPr>
        <w:pStyle w:val="BodyText2"/>
        <w:keepNext w:val="true"/>
        <w:keepLines/>
        <w:widowControl w:val="false"/>
        <w:ind w:hanging="0" w:end="0"/>
        <w:rPr/>
      </w:pPr>
      <w:r>
        <w:rPr/>
        <w:t>Title:___________________________</w:t>
      </w:r>
    </w:p>
    <w:p>
      <w:pPr>
        <w:pStyle w:val="BodyText2"/>
        <w:keepNext w:val="true"/>
        <w:keepLines/>
        <w:widowControl w:val="false"/>
        <w:ind w:hanging="0" w:end="0"/>
        <w:rPr/>
      </w:pPr>
      <w:r>
        <w:rPr/>
      </w:r>
    </w:p>
    <w:p>
      <w:pPr>
        <w:pStyle w:val="BodyText2"/>
        <w:keepNext w:val="true"/>
        <w:keepLines/>
        <w:widowControl w:val="false"/>
        <w:ind w:hanging="0" w:end="0"/>
        <w:rPr/>
      </w:pPr>
      <w:r>
        <w:rPr/>
        <w:t>Bidder Address:</w:t>
      </w:r>
    </w:p>
    <w:p>
      <w:pPr>
        <w:pStyle w:val="BodyText2"/>
        <w:keepNext w:val="true"/>
        <w:keepLines/>
        <w:widowControl w:val="false"/>
        <w:ind w:hanging="0" w:end="0"/>
        <w:rPr/>
      </w:pPr>
      <w:r>
        <w:rPr/>
      </w:r>
    </w:p>
    <w:p>
      <w:pPr>
        <w:pStyle w:val="BodyText2"/>
        <w:keepNext w:val="true"/>
        <w:keepLines/>
        <w:widowControl w:val="false"/>
        <w:ind w:hanging="0" w:end="0"/>
        <w:rPr/>
      </w:pPr>
      <w:r>
        <w:rPr/>
        <w:t>____________________________________</w:t>
      </w:r>
    </w:p>
    <w:p>
      <w:pPr>
        <w:pStyle w:val="BodyText2"/>
        <w:keepNext w:val="true"/>
        <w:keepLines/>
        <w:widowControl w:val="false"/>
        <w:ind w:hanging="0" w:end="0"/>
        <w:rPr/>
      </w:pPr>
      <w:r>
        <w:rPr/>
        <w:t>____________________________________</w:t>
      </w:r>
    </w:p>
    <w:p>
      <w:pPr>
        <w:pStyle w:val="BodyText2"/>
        <w:keepNext w:val="true"/>
        <w:keepLines/>
        <w:widowControl w:val="false"/>
        <w:ind w:hanging="0" w:end="0"/>
        <w:rPr/>
      </w:pPr>
      <w:r>
        <w:rPr/>
        <w:t>____________________________________</w:t>
      </w:r>
    </w:p>
    <w:p>
      <w:pPr>
        <w:pStyle w:val="BodyText2"/>
        <w:keepNext w:val="true"/>
        <w:keepLines/>
        <w:widowControl w:val="false"/>
        <w:ind w:hanging="0" w:end="0"/>
        <w:rPr/>
      </w:pPr>
      <w:r>
        <w:rPr/>
        <w:t>____________________________________</w:t>
      </w:r>
    </w:p>
    <w:p>
      <w:pPr>
        <w:pStyle w:val="BodyText2"/>
        <w:keepNext w:val="true"/>
        <w:keepLines/>
        <w:widowControl w:val="false"/>
        <w:ind w:hanging="0" w:end="0"/>
        <w:rPr/>
      </w:pPr>
      <w:r>
        <w:rPr/>
        <w:t>Phone number: ________________________</w:t>
      </w:r>
    </w:p>
    <w:p>
      <w:pPr>
        <w:pStyle w:val="BodyText2"/>
        <w:keepNext w:val="true"/>
        <w:keepLines/>
        <w:widowControl w:val="false"/>
        <w:ind w:hanging="0" w:end="0"/>
        <w:rPr/>
      </w:pPr>
      <w:r>
        <w:rPr/>
        <w:t>Fax number:  _________________________</w:t>
      </w:r>
    </w:p>
    <w:sectPr>
      <w:headerReference w:type="default" r:id="rId2"/>
      <w:footerReference w:type="default" r:id="rId3"/>
      <w:type w:val="nextPage"/>
      <w:pgSz w:w="12240" w:h="15840"/>
      <w:pgMar w:left="1440" w:right="1440" w:gutter="0" w:header="720" w:top="1440" w:footer="720" w:bottom="776"/>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w:instrText>
    </w:r>
    <w:r>
      <w:rPr/>
      <w:fldChar w:fldCharType="separate"/>
    </w:r>
    <w:r>
      <w:rPr/>
      <w:t>7</w:t>
    </w:r>
    <w:r>
      <w:rPr/>
      <w:fldChar w:fldCharType="end"/>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7"/>
      <w:pStyle w:val="Heading1"/>
      <w:numFmt w:val="upperRoman"/>
      <w:lvlText w:val="%1"/>
      <w:lvlJc w:val="start"/>
      <w:pPr>
        <w:tabs>
          <w:tab w:val="num" w:pos="720"/>
        </w:tabs>
        <w:ind w:start="720" w:hanging="72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upperRoman"/>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3"/>
      <w:numFmt w:val="upperRoman"/>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upp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s>
      <w:ind w:hanging="720" w:start="720"/>
      <w:outlineLvl w:val="0"/>
    </w:pPr>
    <w:rPr>
      <w:sz w:val="24"/>
      <w:szCs w:val="24"/>
    </w:rPr>
  </w:style>
  <w:style w:type="paragraph" w:styleId="Heading2">
    <w:name w:val="heading 2"/>
    <w:basedOn w:val="Normal"/>
    <w:next w:val="Normal"/>
    <w:qFormat/>
    <w:pPr>
      <w:keepNext w:val="true"/>
      <w:numPr>
        <w:ilvl w:val="1"/>
        <w:numId w:val="1"/>
      </w:numPr>
      <w:tabs>
        <w:tab w:val="left" w:pos="720" w:leader="none"/>
      </w:tabs>
      <w:ind w:hanging="720" w:start="720" w:end="0"/>
      <w:outlineLvl w:val="1"/>
    </w:pPr>
    <w:rPr>
      <w:b/>
      <w:bCs/>
      <w:sz w:val="24"/>
      <w:szCs w:val="24"/>
      <w:u w:val="single"/>
    </w:rPr>
  </w:style>
  <w:style w:type="paragraph" w:styleId="Heading3">
    <w:name w:val="heading 3"/>
    <w:basedOn w:val="Normal"/>
    <w:next w:val="Normal"/>
    <w:qFormat/>
    <w:pPr>
      <w:keepNext w:val="true"/>
      <w:numPr>
        <w:ilvl w:val="2"/>
        <w:numId w:val="1"/>
      </w:numPr>
      <w:jc w:val="both"/>
      <w:outlineLvl w:val="2"/>
    </w:pPr>
    <w:rPr>
      <w:sz w:val="24"/>
      <w:szCs w:val="24"/>
    </w:rPr>
  </w:style>
  <w:style w:type="paragraph" w:styleId="Heading4">
    <w:name w:val="heading 4"/>
    <w:basedOn w:val="Normal"/>
    <w:next w:val="Normal"/>
    <w:qFormat/>
    <w:pPr>
      <w:keepNext w:val="true"/>
      <w:numPr>
        <w:ilvl w:val="3"/>
        <w:numId w:val="1"/>
      </w:numPr>
      <w:jc w:val="both"/>
      <w:outlineLvl w:val="3"/>
    </w:pPr>
    <w:rPr>
      <w:b/>
      <w:bCs/>
      <w:sz w:val="24"/>
      <w:szCs w:val="24"/>
    </w:rPr>
  </w:style>
  <w:style w:type="paragraph" w:styleId="Heading5">
    <w:name w:val="heading 5"/>
    <w:basedOn w:val="Normal"/>
    <w:next w:val="Normal"/>
    <w:qFormat/>
    <w:pPr>
      <w:keepNext w:val="true"/>
      <w:numPr>
        <w:ilvl w:val="4"/>
        <w:numId w:val="1"/>
      </w:numPr>
      <w:tabs>
        <w:tab w:val="clear" w:pos="720"/>
        <w:tab w:val="left" w:pos="1080" w:leader="none"/>
      </w:tabs>
      <w:ind w:hanging="720" w:start="1080" w:end="0"/>
      <w:outlineLvl w:val="4"/>
    </w:pPr>
    <w:rPr>
      <w:sz w:val="24"/>
      <w:szCs w:val="24"/>
    </w:rPr>
  </w:style>
  <w:style w:type="paragraph" w:styleId="Heading6">
    <w:name w:val="heading 6"/>
    <w:basedOn w:val="Normal"/>
    <w:next w:val="Normal"/>
    <w:qFormat/>
    <w:pPr>
      <w:keepNext w:val="true"/>
      <w:numPr>
        <w:ilvl w:val="5"/>
        <w:numId w:val="1"/>
      </w:numPr>
      <w:outlineLvl w:val="5"/>
    </w:pPr>
    <w:rPr>
      <w:rFonts w:ascii="Arial" w:hAnsi="Arial" w:eastAsia="Arial" w:cs="Arial"/>
      <w:b/>
      <w:bCs/>
    </w:rPr>
  </w:style>
  <w:style w:type="character" w:styleId="DefaultParagraphFont">
    <w:name w:val="Default Paragraph Font"/>
    <w:qFormat/>
    <w:rPr/>
  </w:style>
  <w:style w:type="character" w:styleId="Hyperlink">
    <w:name w:val="Hyperlink"/>
    <w:basedOn w:val="DefaultParagraphFont"/>
    <w:qFormat/>
    <w:rPr>
      <w:color w:val="0000FF"/>
      <w:u w:val="single"/>
    </w:rPr>
  </w:style>
  <w:style w:type="paragraph" w:styleId="Heading">
    <w:name w:val="Heading"/>
    <w:basedOn w:val="Normal"/>
    <w:next w:val="BodyText"/>
    <w:qFormat/>
    <w:pPr>
      <w:numPr>
        <w:ilvl w:val="0"/>
        <w:numId w:val="2"/>
      </w:numPr>
      <w:tabs>
        <w:tab w:val="left" w:pos="720" w:leader="none"/>
      </w:tabs>
      <w:ind w:hanging="720" w:start="720" w:end="0"/>
      <w:jc w:val="center"/>
    </w:pPr>
    <w:rPr>
      <w:rFonts w:ascii="Arial" w:hAnsi="Arial" w:eastAsia="Arial" w:cs="Arial"/>
      <w:b/>
      <w:bCs/>
      <w:sz w:val="24"/>
      <w:szCs w:val="24"/>
      <w:u w:val="single"/>
    </w:rPr>
  </w:style>
  <w:style w:type="paragraph" w:styleId="BodyText">
    <w:name w:val="Body Text"/>
    <w:basedOn w:val="Normal"/>
    <w:pPr>
      <w:jc w:val="both"/>
    </w:pPr>
    <w:rPr>
      <w:sz w:val="24"/>
      <w:szCs w:val="24"/>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jc w:val="both"/>
    </w:pPr>
    <w:rPr>
      <w:sz w:val="24"/>
      <w:szCs w:val="24"/>
    </w:rPr>
  </w:style>
  <w:style w:type="paragraph" w:styleId="BodyText2">
    <w:name w:val="Body Text 2"/>
    <w:basedOn w:val="Normal"/>
    <w:qFormat/>
    <w:pPr>
      <w:ind w:firstLine="720" w:start="0" w:end="0"/>
      <w:jc w:val="both"/>
    </w:pPr>
    <w:rPr>
      <w:sz w:val="24"/>
      <w:szCs w:val="24"/>
    </w:rPr>
  </w:style>
  <w:style w:type="paragraph" w:styleId="WW-BodyText2">
    <w:name w:val="WW-Body Text 2"/>
    <w:basedOn w:val="Normal"/>
    <w:qFormat/>
    <w:pPr>
      <w:jc w:val="both"/>
    </w:pPr>
    <w:rPr>
      <w:b/>
      <w:bCs/>
      <w:sz w:val="24"/>
      <w:szCs w:val="24"/>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Continue">
    <w:name w:val="List Continue"/>
    <w:basedOn w:val="Normal"/>
    <w:qFormat/>
    <w:pPr>
      <w:spacing w:before="0" w:after="120"/>
      <w:ind w:hanging="0" w:start="360" w:end="0"/>
    </w:pPr>
    <w:rPr/>
  </w:style>
  <w:style w:type="paragraph" w:styleId="WW-BodyText21">
    <w:name w:val="WW-Body Text 21"/>
    <w:basedOn w:val="Normal"/>
    <w:qFormat/>
    <w:pPr>
      <w:spacing w:before="0" w:after="120"/>
      <w:ind w:hanging="0" w:start="360" w:end="0"/>
    </w:pPr>
    <w:rPr/>
  </w:style>
  <w:style w:type="paragraph" w:styleId="Subtitle">
    <w:name w:val="Subtitle"/>
    <w:basedOn w:val="Normal"/>
    <w:next w:val="BodyText"/>
    <w:qFormat/>
    <w:pPr>
      <w:spacing w:before="0" w:after="60"/>
      <w:jc w:val="center"/>
    </w:pPr>
    <w:rPr>
      <w:rFonts w:ascii="Arial" w:hAnsi="Arial" w:eastAsia="Arial" w:cs="Arial"/>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2001-08-09T20:28:00Z</dcterms:created>
  <dc:creator>ET&amp;S LAN Support</dc:creator>
  <dc:description/>
  <dc:language>en-CA</dc:language>
  <cp:lastModifiedBy>kwatson</cp:lastModifiedBy>
  <cp:lastPrinted>2001-08-07T15:12:00Z</cp:lastPrinted>
  <dcterms:modified xsi:type="dcterms:W3CDTF">2001-08-09T20:28:00Z</dcterms:modified>
  <cp:revision>2</cp:revision>
  <dc:subject/>
  <dc:title>D R A F T</dc:title>
</cp:coreProperties>
</file>