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June 1,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Sun Microsystems, Inc.</w:t>
      </w:r>
    </w:p>
    <w:p>
      <w:pPr>
        <w:pStyle w:val="Normal"/>
        <w:autoSpaceDE w:val="false"/>
        <w:spacing w:lineRule="atLeast" w:line="240"/>
        <w:rPr>
          <w:rFonts w:ascii="Times New Roman" w:hAnsi="Times New Roman" w:cs="Times New Roman"/>
          <w:sz w:val="22"/>
        </w:rPr>
      </w:pPr>
      <w:r>
        <w:rPr>
          <w:rFonts w:cs="Times New Roman" w:ascii="Times New Roman" w:hAnsi="Times New Roman"/>
          <w:sz w:val="22"/>
        </w:rPr>
        <w:t>901 San Antonio Road</w:t>
      </w:r>
    </w:p>
    <w:p>
      <w:pPr>
        <w:pStyle w:val="Normal"/>
        <w:jc w:val="both"/>
        <w:rPr>
          <w:rFonts w:ascii="Times New Roman" w:hAnsi="Times New Roman" w:cs="Times New Roman"/>
          <w:sz w:val="22"/>
        </w:rPr>
      </w:pPr>
      <w:r>
        <w:rPr>
          <w:rFonts w:cs="Times New Roman" w:ascii="Times New Roman" w:hAnsi="Times New Roman"/>
          <w:sz w:val="22"/>
        </w:rPr>
        <w:t>Palo Alto, CA  94303</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Sun Microsystems, Inc. and Enron Net Works LLC (hereinafter individually and collectively referred to as a party) are prepared to furnish each other with information (the "Confidential Information") in connection with a possible transaction or other business relationship relating to EnronOnline (the "Transaction").  The term "Confidential Information" shall, with respect to the receiving party, include only information:  (a) disclosed in tangible form clearly labeled as confidential or proprietary at the time of disclosure; or (b) disclosed in non-tangible form, identified as confidential or proprietary at the time of disclosure, and summarized in a writing delivered to the other party within thirty (30) days after disclosure.  Confidential Information shall not include information that (a) was in the possession of, or was known by, the receiving party prior to its receipt from the disclosing party, without an obligation on the part of the receiving party to maintain its confidentiality; (b) is or becomes generally known to the public without violation of this Agreement by the receiving party; (c) is obtained by the receiving party from a third party that was not known to the receiving party to be under any obligation to keep such information confidential; or (d) is independently developed by the receiving party without conscious or intentional use of, reference to, or reliance on the Confidential Information.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representatives, lenders, counsel and affiliates and each of their respective directors, officers, employees, representatives, lenders, counsel and affiliates, if any, to whom each party desires to disclose such Confidential Information for the purposes of evaluation, negotiation or consummation of the proposed Transaction (those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 xml:space="preserve">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or contained in a receiving party's employee workstation computer memories, shall, at the request of the disclosing party be destroyed.  That portion of the Confidential Information that is oral and the Confidential Information that is not so requested or returned will be held by such party and kept subject to the terms of this agreement.  </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all representations and warranties, express or implied, including fitness for a particular purpose, merchantability, and noninfringement, are hereby disclaimed.  Neither party has an obligation to sell or purchase any item from the other party.  Neither Party shall be liable for any special, incidental, consequential or punitive damages by reason of any alleged breach of this Agreement based on any theory of liability.  Nothing in this Agreement shall be construed as a representation that the receiving party will not develop or acquire information that is the same as or similar to Confidential Information, provided that the receiving party does not do so in breach of this Agreement.  For purposes of sections 4 and 7, "information" is deemed to include all information furnished under this agreement.</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 xml:space="preserve">Each party shall have the right to apply to a court to enjoin any breach of this agreement.  </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NEW YORK WITHOUT REGARD TO THE PRINCIPLES OF CONFLICTS OF LAWS THEREOF.</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is not intended to prevent the receiving party from using Residual Knowledge, subject to any valid patents, copyrights and semiconductor mask work rights of the disclosing party. Residual Knowledge means ideas, concepts, know-how or techniques related to the disclosing party's technology that are retained in the unaided memories of the receiving party's employees who have had access to Confidential Information.  An employee's memory will be considered to be unaided if the employee has not intentionally memorized the Confidential Information for the purpose of retaining and subsequently using or disclosing it.</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  The parties agree that all right, title and interest in and to the Confidential Information disclosed hereunder shall be retained by the disclosing party and that no present or future intellectual property rights or licenses are offered, granted or implied by the disclosure of an Confidential Information hereunder.</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The provisions of Sections 1 and 2 hereof shall terminate on the date three years from the date of this letter.</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0"/>
        </w:numPr>
        <w:tabs>
          <w:tab w:val="clear" w:pos="720"/>
          <w:tab w:val="left" w:pos="9360" w:leader="none"/>
        </w:tabs>
        <w:ind w:start="5040" w:end="0"/>
        <w:jc w:val="both"/>
        <w:outlineLvl w:val="0"/>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6030" w:leader="none"/>
          <w:tab w:val="left" w:pos="9360" w:leader="none"/>
        </w:tabs>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tabs>
          <w:tab w:val="clear" w:pos="720"/>
          <w:tab w:val="left" w:pos="4320" w:leader="none"/>
          <w:tab w:val="left" w:pos="9360" w:leader="none"/>
        </w:tabs>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t>Agreed and accepted as of</w:t>
      </w:r>
    </w:p>
    <w:p>
      <w:pPr>
        <w:pStyle w:val="Normal"/>
        <w:jc w:val="both"/>
        <w:rPr>
          <w:rFonts w:ascii="Times New Roman" w:hAnsi="Times New Roman" w:cs="Times New Roman"/>
          <w:sz w:val="22"/>
        </w:rPr>
      </w:pPr>
      <w:r>
        <w:rPr>
          <w:rFonts w:cs="Times New Roman" w:ascii="Times New Roman" w:hAnsi="Times New Roman"/>
          <w:sz w:val="22"/>
        </w:rPr>
        <w:t>date first written above:</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0"/>
        </w:numPr>
        <w:jc w:val="both"/>
        <w:outlineLvl w:val="0"/>
        <w:rPr>
          <w:rFonts w:ascii="Times New Roman" w:hAnsi="Times New Roman" w:cs="Times New Roman"/>
          <w:sz w:val="22"/>
        </w:rPr>
      </w:pPr>
      <w:r>
        <w:rPr>
          <w:rFonts w:cs="Times New Roman" w:ascii="Times New Roman" w:hAnsi="Times New Roman"/>
          <w:sz w:val="22"/>
        </w:rPr>
        <w:t>SUN MICROSYSTEMS, INC.</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tab/>
        <w:tab/>
        <w:tab/>
        <w:tab/>
      </w:r>
    </w:p>
    <w:p>
      <w:pPr>
        <w:pStyle w:val="Normal"/>
        <w:tabs>
          <w:tab w:val="clear" w:pos="720"/>
          <w:tab w:val="left" w:pos="4320" w:leader="none"/>
        </w:tabs>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s>
        <w:jc w:val="both"/>
        <w:rPr/>
      </w:pPr>
      <w:r>
        <w:rPr>
          <w:rFonts w:cs="Times New Roman" w:ascii="Times New Roman" w:hAnsi="Times New Roman"/>
          <w:sz w:val="22"/>
        </w:rPr>
        <w:t>Title:</w:t>
      </w:r>
      <w:r>
        <w:rPr>
          <w:rFonts w:cs="Times New Roman" w:ascii="Times New Roman" w:hAnsi="Times New Roman"/>
          <w:sz w:val="22"/>
          <w:u w:val="single"/>
        </w:rPr>
        <w:tab/>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/mnt/main-storage/datasets/enron-docs/doc/SunMicro.doc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o:legal/tmccull/conf/SunMicro.doc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Sun Microsystems, Inc.</w:t>
    </w:r>
  </w:p>
  <w:p>
    <w:pPr>
      <w:pStyle w:val="Header"/>
      <w:rPr>
        <w:rFonts w:ascii="Times New Roman" w:hAnsi="Times New Roman" w:cs="Times New Roman"/>
        <w:sz w:val="22"/>
      </w:rPr>
    </w:pPr>
    <w:r>
      <w:rPr>
        <w:rFonts w:cs="Times New Roman" w:ascii="Times New Roman" w:hAnsi="Times New Roman"/>
        <w:sz w:val="22"/>
      </w:rPr>
      <w:t>June 1, 2001</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2001-04-02T20:57:00Z</dcterms:created>
  <dc:creator>ECT</dc:creator>
  <dc:description/>
  <dc:language>en-CA</dc:language>
  <cp:lastModifiedBy>Travis McCullough</cp:lastModifiedBy>
  <cp:lastPrinted>2001-06-01T15:42:00Z</cp:lastPrinted>
  <dcterms:modified xsi:type="dcterms:W3CDTF">2001-06-01T18:22:00Z</dcterms:modified>
  <cp:revision>6</cp:revision>
  <dc:subject/>
  <dc:title>Reciprocal Confidentiality Agreement</dc:title>
</cp:coreProperties>
</file>