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2"/>
        </w:rPr>
      </w:pPr>
      <w:r>
        <w:rPr>
          <w:sz w:val="22"/>
        </w:rPr>
        <w:t>Talking Points for Ken Lay’s Call to incoming Treasury Secretary Lawrence Summers on Over-The-Counter (OTC) Derivatives Regulation</w:t>
      </w:r>
    </w:p>
    <w:p>
      <w:pPr>
        <w:pStyle w:val="Normal"/>
        <w:rPr>
          <w:sz w:val="22"/>
        </w:rPr>
      </w:pPr>
      <w:r>
        <w:rPr>
          <w:sz w:val="22"/>
        </w:rPr>
      </w:r>
    </w:p>
    <w:p>
      <w:pPr>
        <w:pStyle w:val="Normal"/>
        <w:rPr>
          <w:sz w:val="22"/>
        </w:rPr>
      </w:pPr>
      <w:r>
        <w:rPr>
          <w:sz w:val="22"/>
        </w:rPr>
        <w:t>We understand that, at a conference of the National Economic Research Association the week of July 5</w:t>
      </w:r>
      <w:r>
        <w:rPr>
          <w:sz w:val="22"/>
          <w:vertAlign w:val="superscript"/>
        </w:rPr>
        <w:t>th</w:t>
      </w:r>
      <w:r>
        <w:rPr>
          <w:sz w:val="22"/>
        </w:rPr>
        <w:t xml:space="preserve">,  Treasury Department assistant general counsel John Yeutter made some troubling comments concerning over-the-counter (OTC) derivatives regulation and Enron.   He apparently stated that the President’s Working Group on Financial Markets in its pending study on Hedge Funds and Derivatives considered OTC derivatives regulation an “open issue”, and it </w:t>
      </w:r>
      <w:r>
        <w:rPr>
          <w:b/>
          <w:sz w:val="22"/>
        </w:rPr>
        <w:t>may recommend regulation of “</w:t>
      </w:r>
      <w:r>
        <w:rPr>
          <w:b/>
          <w:sz w:val="22"/>
          <w:u w:val="single"/>
        </w:rPr>
        <w:t xml:space="preserve">otherwise un-regulated entities, </w:t>
      </w:r>
      <w:r>
        <w:rPr>
          <w:b/>
          <w:i/>
          <w:sz w:val="22"/>
          <w:u w:val="single"/>
        </w:rPr>
        <w:t xml:space="preserve"> such as Enron.</w:t>
      </w:r>
      <w:r>
        <w:rPr>
          <w:b/>
          <w:sz w:val="22"/>
        </w:rPr>
        <w:t>”</w:t>
      </w:r>
    </w:p>
    <w:p>
      <w:pPr>
        <w:pStyle w:val="Normal"/>
        <w:rPr>
          <w:sz w:val="22"/>
        </w:rPr>
      </w:pPr>
      <w:r>
        <w:rPr>
          <w:sz w:val="22"/>
        </w:rPr>
      </w:r>
    </w:p>
    <w:p>
      <w:pPr>
        <w:pStyle w:val="BodyText2"/>
        <w:rPr/>
      </w:pPr>
      <w:r>
        <w:rPr/>
        <w:t>(Note: the President’s Working Group on Financial Markets is comprised of representatives from Treasury, SEC, Federal Reserve, FDIC, CFTC)</w:t>
      </w:r>
    </w:p>
    <w:p>
      <w:pPr>
        <w:pStyle w:val="Normal"/>
        <w:rPr>
          <w:sz w:val="22"/>
        </w:rPr>
      </w:pPr>
      <w:r>
        <w:rPr>
          <w:sz w:val="22"/>
        </w:rPr>
      </w:r>
    </w:p>
    <w:p>
      <w:pPr>
        <w:pStyle w:val="Normal"/>
        <w:numPr>
          <w:ilvl w:val="0"/>
          <w:numId w:val="3"/>
        </w:numPr>
        <w:rPr>
          <w:sz w:val="22"/>
        </w:rPr>
      </w:pPr>
      <w:r>
        <w:rPr>
          <w:sz w:val="22"/>
        </w:rPr>
        <w:t>While Enron certainly does not appreciate being singled out, we are even more troubled by the notion that financial regulators are considering ANY regulation of OTC dealers, particularly in the energy field, where derivatives are truly customer-based risk management tools.</w:t>
      </w:r>
    </w:p>
    <w:p>
      <w:pPr>
        <w:pStyle w:val="Normal"/>
        <w:rPr>
          <w:sz w:val="22"/>
        </w:rPr>
      </w:pPr>
      <w:r>
        <w:rPr>
          <w:sz w:val="22"/>
        </w:rPr>
      </w:r>
    </w:p>
    <w:p>
      <w:pPr>
        <w:pStyle w:val="Normal"/>
        <w:ind w:start="360" w:end="0"/>
        <w:rPr>
          <w:b/>
          <w:sz w:val="22"/>
        </w:rPr>
      </w:pPr>
      <w:r>
        <w:rPr>
          <w:b/>
          <w:sz w:val="22"/>
        </w:rPr>
        <w:t>Enron believes there is no need for any additional regulation of OTC derivatives dealers, because:</w:t>
      </w:r>
    </w:p>
    <w:p>
      <w:pPr>
        <w:pStyle w:val="Normal"/>
        <w:rPr>
          <w:b/>
          <w:sz w:val="22"/>
        </w:rPr>
      </w:pPr>
      <w:r>
        <w:rPr>
          <w:b/>
          <w:sz w:val="22"/>
        </w:rPr>
      </w:r>
    </w:p>
    <w:p>
      <w:pPr>
        <w:pStyle w:val="Normal"/>
        <w:numPr>
          <w:ilvl w:val="0"/>
          <w:numId w:val="2"/>
        </w:numPr>
        <w:tabs>
          <w:tab w:val="left" w:pos="720" w:leader="none"/>
        </w:tabs>
        <w:ind w:hanging="360" w:start="720" w:end="0"/>
        <w:rPr>
          <w:sz w:val="22"/>
        </w:rPr>
      </w:pPr>
      <w:r>
        <w:rPr>
          <w:sz w:val="22"/>
        </w:rPr>
        <w:t>The OTC derivatives markets are functioning very smoothly today and there is no evidence of any need for further regulation.</w:t>
      </w:r>
    </w:p>
    <w:p>
      <w:pPr>
        <w:pStyle w:val="Normal"/>
        <w:ind w:start="360" w:end="0"/>
        <w:rPr>
          <w:sz w:val="22"/>
        </w:rPr>
      </w:pPr>
      <w:r>
        <w:rPr>
          <w:sz w:val="22"/>
        </w:rPr>
      </w:r>
    </w:p>
    <w:p>
      <w:pPr>
        <w:pStyle w:val="Normal"/>
        <w:numPr>
          <w:ilvl w:val="0"/>
          <w:numId w:val="2"/>
        </w:numPr>
        <w:tabs>
          <w:tab w:val="left" w:pos="720" w:leader="none"/>
        </w:tabs>
        <w:ind w:hanging="360" w:start="720" w:end="0"/>
        <w:rPr>
          <w:sz w:val="22"/>
        </w:rPr>
      </w:pPr>
      <w:r>
        <w:rPr>
          <w:sz w:val="22"/>
        </w:rPr>
        <w:t>There have been no problems in the energy derivatives market that warrant regulation.  In fact, derivative products provide a useful and important risk management tool for our customers in the energy industry and many other business areas.</w:t>
      </w:r>
    </w:p>
    <w:p>
      <w:pPr>
        <w:pStyle w:val="Normal"/>
        <w:rPr>
          <w:sz w:val="22"/>
        </w:rPr>
      </w:pPr>
      <w:r>
        <w:rPr>
          <w:sz w:val="22"/>
        </w:rPr>
      </w:r>
    </w:p>
    <w:p>
      <w:pPr>
        <w:pStyle w:val="Normal"/>
        <w:numPr>
          <w:ilvl w:val="0"/>
          <w:numId w:val="3"/>
        </w:numPr>
        <w:rPr>
          <w:sz w:val="22"/>
        </w:rPr>
      </w:pPr>
      <w:r>
        <w:rPr>
          <w:sz w:val="22"/>
        </w:rPr>
        <w:t>In addition to expressing deep concern about Mr. Yeutter’s comments, your phone call should seek some clear answers from Treasury as to:</w:t>
      </w:r>
    </w:p>
    <w:p>
      <w:pPr>
        <w:pStyle w:val="Normal"/>
        <w:rPr>
          <w:sz w:val="22"/>
        </w:rPr>
      </w:pPr>
      <w:r>
        <w:rPr>
          <w:sz w:val="22"/>
        </w:rPr>
      </w:r>
    </w:p>
    <w:p>
      <w:pPr>
        <w:pStyle w:val="Normal"/>
        <w:numPr>
          <w:ilvl w:val="0"/>
          <w:numId w:val="1"/>
        </w:numPr>
        <w:tabs>
          <w:tab w:val="clear" w:pos="720"/>
          <w:tab w:val="left" w:pos="1140" w:leader="none"/>
        </w:tabs>
        <w:ind w:hanging="360" w:start="1140" w:end="0"/>
        <w:rPr>
          <w:sz w:val="22"/>
        </w:rPr>
      </w:pPr>
      <w:r>
        <w:rPr>
          <w:sz w:val="22"/>
        </w:rPr>
        <w:t>Why is Treasury even considering OTC derivatives regulation?</w:t>
      </w:r>
    </w:p>
    <w:p>
      <w:pPr>
        <w:pStyle w:val="Normal"/>
        <w:ind w:start="780" w:end="0"/>
        <w:rPr>
          <w:sz w:val="22"/>
        </w:rPr>
      </w:pPr>
      <w:r>
        <w:rPr>
          <w:sz w:val="22"/>
        </w:rPr>
      </w:r>
    </w:p>
    <w:p>
      <w:pPr>
        <w:pStyle w:val="Normal"/>
        <w:numPr>
          <w:ilvl w:val="0"/>
          <w:numId w:val="1"/>
        </w:numPr>
        <w:tabs>
          <w:tab w:val="clear" w:pos="720"/>
          <w:tab w:val="left" w:pos="1140" w:leader="none"/>
        </w:tabs>
        <w:ind w:hanging="360" w:start="1140" w:end="0"/>
        <w:rPr>
          <w:sz w:val="22"/>
        </w:rPr>
      </w:pPr>
      <w:r>
        <w:rPr>
          <w:sz w:val="22"/>
        </w:rPr>
        <w:t>Who within Treasury or the other members of the President’s Working Group is interested in regulating OTC markets?   Our ongoing concerns have been with the CFTC, who has repeatedly suggested regulation of OTC derivatives markets but has been steered away from that course by Congress and by many other members of the working group.   Is the CFTC the instigator?</w:t>
      </w:r>
    </w:p>
    <w:p>
      <w:pPr>
        <w:pStyle w:val="Normal"/>
        <w:rPr>
          <w:sz w:val="22"/>
        </w:rPr>
      </w:pPr>
      <w:r>
        <w:rPr>
          <w:sz w:val="22"/>
        </w:rPr>
      </w:r>
    </w:p>
    <w:p>
      <w:pPr>
        <w:pStyle w:val="Normal"/>
        <w:rPr>
          <w:sz w:val="22"/>
        </w:rPr>
      </w:pPr>
      <w:r>
        <w:rPr>
          <w:sz w:val="22"/>
        </w:rPr>
        <w:t>Hopefully this was a misunderstanding that Larry Summers is unaware of and he will be willing to work to clarify the situation and to follow up with insight as to the reasons for the comments.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eorgia">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eorgia" w:hAnsi="Georgia" w:eastAsia="Times New Roman" w:cs="Georgia"/>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sz w:val="20"/>
    </w:rPr>
  </w:style>
  <w:style w:type="paragraph" w:styleId="EnvelopeAddress">
    <w:name w:val="envelope address"/>
    <w:basedOn w:val="Normal"/>
    <w:pPr>
      <w:ind w:hanging="0" w:start="2880" w:end="0"/>
    </w:pPr>
    <w:rPr/>
  </w:style>
  <w:style w:type="paragraph" w:styleId="BodyTextIndent">
    <w:name w:val="Body Text Indent"/>
    <w:basedOn w:val="Normal"/>
    <w:pPr>
      <w:ind w:hanging="0" w:start="720" w:end="0"/>
    </w:pPr>
    <w:rPr>
      <w:rFonts w:ascii="Times New Roman" w:hAnsi="Times New Roman" w:cs="Times New Roman"/>
    </w:rPr>
  </w:style>
  <w:style w:type="paragraph" w:styleId="BodyText2">
    <w:name w:val="Body Text 2"/>
    <w:basedOn w:val="Normal"/>
    <w:qFormat/>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1999-07-23T18:24:00Z</dcterms:created>
  <dc:creator>jkeeler</dc:creator>
  <dc:description/>
  <dc:language>en-CA</dc:language>
  <cp:lastModifiedBy>jkeeler</cp:lastModifiedBy>
  <cp:lastPrinted>1999-07-23T15:12:00Z</cp:lastPrinted>
  <dcterms:modified xsi:type="dcterms:W3CDTF">1999-07-23T18:24:00Z</dcterms:modified>
  <cp:revision>2</cp:revision>
  <dc:subject/>
  <dc:title>Key Enron Points for meetings with Policy Makers:</dc:title>
</cp:coreProperties>
</file>