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SUBJECT COMPANY, SUBSIDIARIES OF SUBJECT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COMPANY AND OPERATING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pPr>
      <w:r>
        <w:rPr/>
        <w:t>This schedule sets forth with respect to each Business a true and complete list of all Subject Companies and of the Transfer Companies comprising the Subject Company Group, together with (a) a specification of the nature of the legal organization of each such entity, (b) the jurisdiction of incorporation or other organization of each such entity and (c) the magnitude (expressed as a percentage of all outstanding Equity Securities of such legal entity) of the direct or indirect equity investment of the Parent (and, if different, the economic interest) in each such entity:</w:t>
      </w:r>
    </w:p>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u w:val="single"/>
        </w:rPr>
        <w:t>Subject Company</w:t>
      </w:r>
      <w:r>
        <w:rPr/>
        <w:t>:</w:t>
        <w:tab/>
        <w:t>Enron Global Power &amp; Pipelines L.L.C., a Delaware limited liability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tab/>
      </w:r>
      <w:r>
        <w:rPr>
          <w:u w:val="single"/>
        </w:rPr>
        <w:t>Subsidiaries</w:t>
      </w:r>
      <w:r>
        <w:rPr/>
        <w:t>:</w:t>
        <w:tab/>
        <w:t>Enron Transportadora Holdings Ltd., a Cayman Islands corporation (100%).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T.R. Holdings Ltda., a Bolivian __________ (50%).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3600" w:leader="none"/>
          <w:tab w:val="left" w:pos="5760" w:leader="none"/>
          <w:tab w:val="left" w:pos="6480" w:leader="none"/>
          <w:tab w:val="left" w:pos="7200" w:leader="none"/>
          <w:tab w:val="left" w:pos="7920" w:leader="none"/>
          <w:tab w:val="left" w:pos="8640" w:leader="none"/>
          <w:tab w:val="left" w:pos="9360" w:leader="none"/>
        </w:tabs>
        <w:ind w:hanging="4680" w:start="4680" w:end="0"/>
        <w:rPr/>
      </w:pPr>
      <w:r>
        <w:rPr/>
        <w:tab/>
        <w:tab/>
        <w:tab/>
      </w:r>
      <w:r>
        <w:rPr>
          <w:u w:val="single"/>
        </w:rPr>
        <w:t>Operating Company</w:t>
      </w:r>
      <w:r>
        <w:rPr/>
        <w:t>:   Transredes S.A., a Bolivian __________ (25%).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of each Subject Company directly or indirectly owned by the Parent, in each case as of the date of the Agreement:</w:t>
      </w:r>
    </w:p>
    <w:p>
      <w:pPr>
        <w:pStyle w:val="Normal"/>
        <w:rPr/>
      </w:pPr>
      <w:r>
        <w:rPr/>
      </w:r>
    </w:p>
    <w:tbl>
      <w:tblPr>
        <w:tblW w:w="12330" w:type="dxa"/>
        <w:jc w:val="start"/>
        <w:tblInd w:w="100" w:type="dxa"/>
        <w:tblLayout w:type="fixed"/>
        <w:tblCellMar>
          <w:top w:w="0" w:type="dxa"/>
          <w:start w:w="100" w:type="dxa"/>
          <w:bottom w:w="0" w:type="dxa"/>
          <w:end w:w="100" w:type="dxa"/>
        </w:tblCellMar>
      </w:tblPr>
      <w:tblGrid>
        <w:gridCol w:w="1710"/>
        <w:gridCol w:w="2250"/>
        <w:gridCol w:w="1800"/>
        <w:gridCol w:w="1710"/>
        <w:gridCol w:w="1710"/>
        <w:gridCol w:w="1440"/>
        <w:gridCol w:w="1710"/>
      </w:tblGrid>
      <w:tr>
        <w:trPr>
          <w:tblHeader w:val="true"/>
          <w:trHeight w:val="403" w:hRule="atLeast"/>
        </w:trPr>
        <w:tc>
          <w:tcPr>
            <w:tcW w:w="1710" w:type="dxa"/>
            <w:tcBorders>
              <w:top w:val="single" w:sz="6" w:space="0" w:color="000000"/>
              <w:start w:val="single" w:sz="6" w:space="0" w:color="000000"/>
            </w:tcBorders>
          </w:tcPr>
          <w:p>
            <w:pPr>
              <w:pStyle w:val="Normal"/>
              <w:rPr>
                <w:b/>
              </w:rPr>
            </w:pPr>
            <w:r>
              <w:rPr>
                <w:b/>
              </w:rPr>
              <w:t>Business(es)</w:t>
            </w:r>
          </w:p>
        </w:tc>
        <w:tc>
          <w:tcPr>
            <w:tcW w:w="2250" w:type="dxa"/>
            <w:tcBorders>
              <w:top w:val="single" w:sz="6" w:space="0" w:color="000000"/>
              <w:start w:val="single" w:sz="6" w:space="0" w:color="000000"/>
            </w:tcBorders>
          </w:tcPr>
          <w:p>
            <w:pPr>
              <w:pStyle w:val="Normal"/>
              <w:rPr>
                <w:b/>
              </w:rPr>
            </w:pPr>
            <w:r>
              <w:rPr>
                <w:b/>
              </w:rPr>
              <w:t xml:space="preserve">Name of </w:t>
              <w:tab/>
            </w:r>
          </w:p>
          <w:p>
            <w:pPr>
              <w:pStyle w:val="Normal"/>
              <w:rPr>
                <w:b/>
              </w:rPr>
            </w:pPr>
            <w:r>
              <w:rPr>
                <w:b/>
              </w:rPr>
              <w:t xml:space="preserve">Subject </w:t>
              <w:tab/>
            </w:r>
          </w:p>
          <w:p>
            <w:pPr>
              <w:pStyle w:val="Normal"/>
              <w:rPr>
                <w:b/>
              </w:rPr>
            </w:pPr>
            <w:r>
              <w:rPr>
                <w:b/>
              </w:rPr>
              <w:t>Company</w:t>
            </w:r>
          </w:p>
        </w:tc>
        <w:tc>
          <w:tcPr>
            <w:tcW w:w="1800" w:type="dxa"/>
            <w:tcBorders>
              <w:top w:val="single" w:sz="6" w:space="0" w:color="000000"/>
              <w:start w:val="single" w:sz="6" w:space="0" w:color="000000"/>
            </w:tcBorders>
          </w:tcPr>
          <w:p>
            <w:pPr>
              <w:pStyle w:val="Normal"/>
              <w:rPr>
                <w:b/>
              </w:rPr>
            </w:pPr>
            <w:r>
              <w:rPr>
                <w:b/>
              </w:rPr>
              <w:t>Description</w:t>
            </w:r>
          </w:p>
          <w:p>
            <w:pPr>
              <w:pStyle w:val="Normal"/>
              <w:rPr>
                <w:b/>
              </w:rPr>
            </w:pPr>
            <w:r>
              <w:rPr>
                <w:b/>
              </w:rPr>
              <w:t xml:space="preserve">of Equity </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Authorized</w:t>
            </w:r>
          </w:p>
          <w:p>
            <w:pPr>
              <w:pStyle w:val="Normal"/>
              <w:rPr>
                <w:b/>
              </w:rPr>
            </w:pPr>
            <w:r>
              <w:rPr>
                <w:b/>
              </w:rPr>
              <w:t>Equity</w:t>
            </w:r>
          </w:p>
          <w:p>
            <w:pPr>
              <w:pStyle w:val="Normal"/>
              <w:rPr>
                <w:b/>
              </w:rPr>
            </w:pPr>
            <w:r>
              <w:rPr>
                <w:b/>
              </w:rPr>
              <w:t>Securities</w:t>
            </w:r>
          </w:p>
        </w:tc>
        <w:tc>
          <w:tcPr>
            <w:tcW w:w="1710" w:type="dxa"/>
            <w:tcBorders>
              <w:top w:val="single" w:sz="6" w:space="0" w:color="000000"/>
              <w:start w:val="single" w:sz="6" w:space="0" w:color="000000"/>
            </w:tcBorders>
          </w:tcPr>
          <w:p>
            <w:pPr>
              <w:pStyle w:val="Normal"/>
              <w:rPr>
                <w:b/>
              </w:rPr>
            </w:pPr>
            <w:r>
              <w:rPr>
                <w:b/>
              </w:rPr>
              <w:t xml:space="preserve">Outstanding </w:t>
            </w:r>
          </w:p>
          <w:p>
            <w:pPr>
              <w:pStyle w:val="Normal"/>
              <w:rPr>
                <w:b/>
              </w:rPr>
            </w:pPr>
            <w:r>
              <w:rPr>
                <w:b/>
              </w:rPr>
              <w:t xml:space="preserve">Equity </w:t>
              <w:tab/>
            </w:r>
          </w:p>
          <w:p>
            <w:pPr>
              <w:pStyle w:val="Normal"/>
              <w:rPr>
                <w:b/>
              </w:rPr>
            </w:pPr>
            <w:r>
              <w:rPr>
                <w:b/>
              </w:rPr>
              <w:t>Securities</w:t>
            </w:r>
          </w:p>
        </w:tc>
        <w:tc>
          <w:tcPr>
            <w:tcW w:w="1440" w:type="dxa"/>
            <w:tcBorders>
              <w:top w:val="single" w:sz="6" w:space="0" w:color="000000"/>
              <w:start w:val="single" w:sz="6" w:space="0" w:color="000000"/>
            </w:tcBorders>
          </w:tcPr>
          <w:p>
            <w:pPr>
              <w:pStyle w:val="Normal"/>
              <w:rPr>
                <w:b/>
              </w:rPr>
            </w:pPr>
            <w:r>
              <w:rPr>
                <w:b/>
              </w:rPr>
              <w:t>Equity Securities</w:t>
            </w:r>
          </w:p>
          <w:p>
            <w:pPr>
              <w:pStyle w:val="Normal"/>
              <w:rPr>
                <w:b/>
              </w:rPr>
            </w:pPr>
            <w:r>
              <w:rPr>
                <w:b/>
              </w:rPr>
              <w:t xml:space="preserve">Owned by </w:t>
            </w:r>
          </w:p>
          <w:p>
            <w:pPr>
              <w:pStyle w:val="Normal"/>
              <w:rPr>
                <w:b/>
              </w:rPr>
            </w:pPr>
            <w:r>
              <w:rPr>
                <w:b/>
              </w:rPr>
              <w:t>Seller</w:t>
            </w:r>
          </w:p>
        </w:tc>
        <w:tc>
          <w:tcPr>
            <w:tcW w:w="1710" w:type="dxa"/>
            <w:tcBorders>
              <w:top w:val="single" w:sz="6" w:space="0" w:color="000000"/>
              <w:start w:val="single" w:sz="6" w:space="0" w:color="000000"/>
              <w:end w:val="single" w:sz="6" w:space="0" w:color="000000"/>
            </w:tcBorders>
          </w:tcPr>
          <w:p>
            <w:pPr>
              <w:pStyle w:val="Normal"/>
              <w:rPr>
                <w:b/>
              </w:rPr>
            </w:pPr>
            <w:r>
              <w:rPr>
                <w:b/>
              </w:rPr>
              <w:t>% of Subject</w:t>
            </w:r>
          </w:p>
          <w:p>
            <w:pPr>
              <w:pStyle w:val="Normal"/>
              <w:rPr>
                <w:b/>
              </w:rPr>
            </w:pPr>
            <w:r>
              <w:rPr>
                <w:b/>
              </w:rPr>
              <w:t xml:space="preserve">Company Owned and Transferred </w:t>
            </w:r>
          </w:p>
          <w:p>
            <w:pPr>
              <w:pStyle w:val="Normal"/>
              <w:rPr>
                <w:b/>
              </w:rPr>
            </w:pPr>
            <w:r>
              <w:rPr>
                <w:b/>
              </w:rPr>
              <w:t>by Seller</w:t>
            </w:r>
          </w:p>
        </w:tc>
      </w:tr>
      <w:tr>
        <w:trPr>
          <w:trHeight w:val="403" w:hRule="atLeast"/>
        </w:trPr>
        <w:tc>
          <w:tcPr>
            <w:tcW w:w="1710" w:type="dxa"/>
            <w:tcBorders>
              <w:top w:val="single" w:sz="6" w:space="0" w:color="000000"/>
              <w:start w:val="single" w:sz="6" w:space="0" w:color="000000"/>
              <w:bottom w:val="single" w:sz="4" w:space="0" w:color="000000"/>
            </w:tcBorders>
          </w:tcPr>
          <w:p>
            <w:pPr>
              <w:pStyle w:val="Normal"/>
              <w:rPr/>
            </w:pPr>
            <w:r>
              <w:rPr/>
              <w:t>Transredes</w:t>
            </w:r>
          </w:p>
        </w:tc>
        <w:tc>
          <w:tcPr>
            <w:tcW w:w="2250" w:type="dxa"/>
            <w:tcBorders>
              <w:top w:val="single" w:sz="6" w:space="0" w:color="000000"/>
              <w:start w:val="single" w:sz="6" w:space="0" w:color="000000"/>
              <w:bottom w:val="single" w:sz="4" w:space="0" w:color="000000"/>
            </w:tcBorders>
          </w:tcPr>
          <w:p>
            <w:pPr>
              <w:pStyle w:val="Normal"/>
              <w:rPr/>
            </w:pPr>
            <w:r>
              <w:rPr/>
              <w:t xml:space="preserve">Enron Global Power &amp; Pipelines LLC </w:t>
            </w:r>
          </w:p>
          <w:p>
            <w:pPr>
              <w:pStyle w:val="Normal"/>
              <w:rPr/>
            </w:pPr>
            <w:r>
              <w:rPr/>
              <w:t>(EGPP)</w:t>
            </w:r>
          </w:p>
        </w:tc>
        <w:tc>
          <w:tcPr>
            <w:tcW w:w="180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tcBorders>
          </w:tcPr>
          <w:p>
            <w:pPr>
              <w:pStyle w:val="Normal"/>
              <w:snapToGrid w:val="false"/>
              <w:rPr/>
            </w:pPr>
            <w:r>
              <w:rPr/>
            </w:r>
          </w:p>
        </w:tc>
        <w:tc>
          <w:tcPr>
            <w:tcW w:w="1440" w:type="dxa"/>
            <w:tcBorders>
              <w:top w:val="single" w:sz="6" w:space="0" w:color="000000"/>
              <w:start w:val="single" w:sz="6" w:space="0" w:color="000000"/>
              <w:bottom w:val="single" w:sz="4" w:space="0" w:color="000000"/>
            </w:tcBorders>
          </w:tcPr>
          <w:p>
            <w:pPr>
              <w:pStyle w:val="Normal"/>
              <w:snapToGrid w:val="false"/>
              <w:rPr/>
            </w:pPr>
            <w:r>
              <w:rPr/>
            </w:r>
          </w:p>
        </w:tc>
        <w:tc>
          <w:tcPr>
            <w:tcW w:w="1710" w:type="dxa"/>
            <w:tcBorders>
              <w:top w:val="single" w:sz="6" w:space="0" w:color="000000"/>
              <w:start w:val="single" w:sz="6" w:space="0" w:color="000000"/>
              <w:bottom w:val="single" w:sz="4"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[Company to provide missing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p>
      <w:pPr>
        <w:sectPr>
          <w:headerReference w:type="default" r:id="rId4"/>
          <w:headerReference w:type="first" r:id="rId5"/>
          <w:footerReference w:type="default" r:id="rId6"/>
          <w:footerReference w:type="first" r:id="rId7"/>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5.03(d)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VOTING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Shareholders Agreement dated December 4, 1996 between Enron Transportadora (Bolivia) S.A. and Shell Overseas Holdings Limited,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SCHEDULE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TITLE TO PROPERTIES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start"/>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Transredes is in the process of legally registering all of its Bolivian rights of way in the Bolivian property recording system.  Consequently, Transredes does not presently have perfected title to its Bolivian network of rights of way.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b/>
        </w:rPr>
      </w:pPr>
      <w:r>
        <w:rPr>
          <w:b/>
        </w:rPr>
        <w:t>[2.</w:t>
        <w:tab/>
        <w:t>Confirm for the representation in Section 5.04(a)(i) that all of Transredes' debt is reflected on its "financial Books and Records" which would disclose the associated liens for purposes of this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5.05(b)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LIABILITIES AND OBLIGATIONS INCURRED OUTSIDE THE ORDINARY COURSE OF BUSINESS THAT ARE TO BE DISCLOSED IN FINANCIAL STATEMENTS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ind w:hanging="720" w:start="720" w:end="0"/>
        <w:rPr>
          <w:b/>
          <w:color w:val="000000"/>
        </w:rPr>
      </w:pPr>
      <w:r>
        <w:rPr>
          <w:color w:val="000000"/>
        </w:rPr>
        <w:t>1.</w:t>
        <w:tab/>
        <w:t>Transredes has signed “Convenios” with communities to compensate in kind for damages resulting from the Desaguadero River oil spill. Total estimated financial impact to be $1,000,000 in the next 24 months</w:t>
      </w:r>
    </w:p>
    <w:p>
      <w:pPr>
        <w:pStyle w:val="Normal"/>
        <w:rPr>
          <w:rFonts w:ascii="Arial" w:hAnsi="Arial" w:cs="Arial"/>
          <w:b/>
          <w:color w:val="000000"/>
        </w:rPr>
      </w:pPr>
      <w:r>
        <w:rPr>
          <w:rFonts w:cs="Arial" w:ascii="Arial" w:hAnsi="Arial"/>
          <w:b/>
          <w:color w:val="00000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color w:val="000000"/>
        </w:rPr>
      </w:pPr>
      <w:r>
        <w:rPr>
          <w:color w:val="000000"/>
        </w:rPr>
        <w:t>2.</w:t>
        <w:tab/>
        <w:t>Transredes is hedging 50% of its non-dollar loans from foreign exchange exposure.  It is expected that the current 3-month hedge of $20,000,000 in Euros and $10,000,000 in Swiss Francs will be continuously rolled over during 2000</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color w:val="000000"/>
        </w:rPr>
      </w:pPr>
      <w:r>
        <w:rPr>
          <w:color w:val="00000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color w:val="000000"/>
        </w:rPr>
      </w:pPr>
      <w:r>
        <w:rPr>
          <w:color w:val="000000"/>
        </w:rPr>
        <w:t>3.</w:t>
        <w:tab/>
        <w:t>Transredes has agreed, in connection with selling its interests in GasBol, GasMat and EPE, to add additional compression on GasMat and GasBol in addition to its duties under the remaining O&amp;M arrangement.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color w:val="000000"/>
        </w:rPr>
      </w:pPr>
      <w:r>
        <w:rPr>
          <w:color w:val="000000"/>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pPr>
      <w:r>
        <w:rPr>
          <w:color w:val="000000"/>
        </w:rPr>
        <w:t>4.</w:t>
        <w:tab/>
        <w:t xml:space="preserve">A Supreme Decree </w:t>
      </w:r>
      <w:r>
        <w:rPr>
          <w:b/>
          <w:color w:val="000000"/>
        </w:rPr>
        <w:t>[Company to specify which agency will supply such Supreme Decree]</w:t>
      </w:r>
      <w:r>
        <w:rPr>
          <w:color w:val="000000"/>
        </w:rPr>
        <w:t xml:space="preserve"> is needed to ensure recovery of the Deferred Account.</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outlineLvl w:val="0"/>
        <w:rPr>
          <w:color w:val="000000"/>
          <w:u w:val="single"/>
        </w:rPr>
      </w:pPr>
      <w:r>
        <w:rPr>
          <w:color w:val="000000"/>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5.06(a)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AUTHORIZATIONS FOR DEVELOPED BUSINESSES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Actions, proceedings or investigations regarding Authorizations: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lang w:val="es-ES"/>
        </w:rPr>
        <w:t>1.</w:t>
        <w:tab/>
        <w:t>Due to the Desaguadero River spill, an o</w:t>
      </w:r>
      <w:r>
        <w:rPr>
          <w:color w:val="000000"/>
          <w:lang w:val="es-ES"/>
        </w:rPr>
        <w:t>fficial investigation has been initiated by SIRESE regarding the alleged noncompliance with Article 54 of the Regulations Regarding Transportation of Hydrocarbons through Pipelines, which requires maintenance of the pipeline to avoid suspension of service.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color w:val="000000"/>
          <w:lang w:val="es-ES"/>
        </w:rPr>
      </w:pPr>
      <w:r>
        <w:rPr>
          <w:color w:val="000000"/>
          <w:lang w:val="es-ES"/>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lang w:val="es-ES"/>
        </w:rPr>
      </w:pPr>
      <w:r>
        <w:rPr>
          <w:lang w:val="es-ES"/>
        </w:rPr>
        <w:t>2.</w:t>
        <w:tab/>
        <w:t>Potential proceedings before the Vice-Ministry of the Environment, Natural Resources and Forest Development regarding the contamination of the Desaguadero River.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lang w:val="es-ES"/>
        </w:rPr>
      </w:pPr>
      <w:r>
        <w:rPr>
          <w:lang w:val="es-E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w:t>
        <w:tab/>
        <w:t xml:space="preserve">Transredes is potentially liable in Brazil for damages in an amount between $30,000 to $3,000,000 for violations of antitrust laws, stemming from an incident in which participation quotas in GasMat and EPE were transferred from Enron to Shell and Transredes and where Enron did not notify CADE, the Brazilian antitrust authority, of such transfer.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Authorizations necessary to carry on the Business as currently conducted that have not been obtained: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Authorization is needed to carry out the looping and compression of the pipeline in southern Bolivia.</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u w:val="single"/>
        </w:rPr>
      </w:pPr>
      <w:r>
        <w:rPr/>
        <w:t>2.</w:t>
        <w:tab/>
        <w:t>In connection with Transredes' plan to offer firm service, Transredes has filed a tariff mechanism proposal with SIRESE.  A tariff is expected to be set in April 2001.  A Supreme Decree is required to enact such a firm service tariff.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5.07(b)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REGULATING GOVERNMENTAL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the Governmental Authorities which regulate material products or services sold or provided by, or material supplies by, the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tab/>
        <w:t>-</w:t>
        <w:tab/>
        <w:t>SIRESE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5.08(a)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INSURANCE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including the name of the underwriter, the risks insured, coverage and related limits and deductibles, expiration dates and significant riders, of the principal insurance policies currently maintained by the Subject Company and their Subsidiaries and Operating Companies (other than insurance policies maintained by or through the Parent Company Group).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[Insurance information was not be supplied because Transredes' insurance requirements are covered by Enron Corp., so Enron Corp. to supply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r>
    </w:p>
    <w:tbl>
      <w:tblPr>
        <w:tblW w:w="9360" w:type="dxa"/>
        <w:jc w:val="center"/>
        <w:tblInd w:w="0" w:type="dxa"/>
        <w:tblLayout w:type="fixed"/>
        <w:tblCellMar>
          <w:top w:w="0" w:type="dxa"/>
          <w:start w:w="100" w:type="dxa"/>
          <w:bottom w:w="0" w:type="dxa"/>
          <w:end w:w="100" w:type="dxa"/>
        </w:tblCellMar>
      </w:tblPr>
      <w:tblGrid>
        <w:gridCol w:w="1560"/>
        <w:gridCol w:w="1560"/>
        <w:gridCol w:w="1560"/>
        <w:gridCol w:w="1560"/>
        <w:gridCol w:w="1560"/>
        <w:gridCol w:w="1560"/>
      </w:tblGrid>
      <w:tr>
        <w:trPr>
          <w:trHeight w:val="403" w:hRule="atLeast"/>
        </w:trPr>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Underwriter</w:t>
            </w:r>
          </w:p>
        </w:tc>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Risks</w:t>
            </w:r>
          </w:p>
        </w:tc>
        <w:tc>
          <w:tcPr>
            <w:tcW w:w="1560" w:type="dxa"/>
            <w:tcBorders>
              <w:top w:val="single" w:sz="6" w:space="0" w:color="000000"/>
              <w:start w:val="single" w:sz="6" w:space="0" w:color="000000"/>
            </w:tcBorders>
          </w:tcPr>
          <w:p>
            <w:pPr>
              <w:pStyle w:val="Normal"/>
              <w:snapToGrid w:val="false"/>
              <w:jc w:val="center"/>
              <w:rPr>
                <w:b/>
                <w:u w:val="single"/>
              </w:rPr>
            </w:pPr>
            <w:r>
              <w:rPr>
                <w:b/>
                <w:u w:val="single"/>
              </w:rPr>
            </w:r>
          </w:p>
          <w:p>
            <w:pPr>
              <w:pStyle w:val="Normal"/>
              <w:jc w:val="center"/>
              <w:rPr>
                <w:b/>
                <w:u w:val="single"/>
              </w:rPr>
            </w:pPr>
            <w:r>
              <w:rPr>
                <w:b/>
                <w:u w:val="single"/>
              </w:rPr>
              <w:t>Coverage</w:t>
            </w:r>
          </w:p>
        </w:tc>
        <w:tc>
          <w:tcPr>
            <w:tcW w:w="1560" w:type="dxa"/>
            <w:tcBorders>
              <w:top w:val="single" w:sz="6" w:space="0" w:color="000000"/>
              <w:start w:val="single" w:sz="6" w:space="0" w:color="000000"/>
            </w:tcBorders>
          </w:tcPr>
          <w:p>
            <w:pPr>
              <w:pStyle w:val="Normal"/>
              <w:jc w:val="center"/>
              <w:rPr>
                <w:b/>
                <w:u w:val="single"/>
              </w:rPr>
            </w:pPr>
            <w:r>
              <w:rPr>
                <w:b/>
                <w:u w:val="single"/>
              </w:rPr>
              <w:t>Limits and Deductibles</w:t>
            </w:r>
          </w:p>
        </w:tc>
        <w:tc>
          <w:tcPr>
            <w:tcW w:w="1560" w:type="dxa"/>
            <w:tcBorders>
              <w:top w:val="single" w:sz="6" w:space="0" w:color="000000"/>
              <w:start w:val="single" w:sz="6" w:space="0" w:color="000000"/>
            </w:tcBorders>
          </w:tcPr>
          <w:p>
            <w:pPr>
              <w:pStyle w:val="Normal"/>
              <w:jc w:val="center"/>
              <w:rPr>
                <w:b/>
                <w:u w:val="single"/>
              </w:rPr>
            </w:pPr>
            <w:r>
              <w:rPr>
                <w:b/>
                <w:u w:val="single"/>
              </w:rPr>
              <w:t>Expiration Dates</w:t>
            </w:r>
          </w:p>
        </w:tc>
        <w:tc>
          <w:tcPr>
            <w:tcW w:w="1560" w:type="dxa"/>
            <w:tcBorders>
              <w:top w:val="single" w:sz="6" w:space="0" w:color="000000"/>
              <w:start w:val="single" w:sz="6" w:space="0" w:color="000000"/>
              <w:end w:val="single" w:sz="6" w:space="0" w:color="000000"/>
            </w:tcBorders>
          </w:tcPr>
          <w:p>
            <w:pPr>
              <w:pStyle w:val="Normal"/>
              <w:jc w:val="center"/>
              <w:rPr>
                <w:b/>
                <w:u w:val="single"/>
              </w:rPr>
            </w:pPr>
            <w:r>
              <w:rPr>
                <w:b/>
                <w:u w:val="single"/>
              </w:rPr>
              <w:t>Significant Riders</w:t>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tcBorders>
          </w:tcPr>
          <w:p>
            <w:pPr>
              <w:pStyle w:val="Normal"/>
              <w:snapToGrid w:val="false"/>
              <w:rPr/>
            </w:pPr>
            <w:r>
              <w:rPr/>
            </w:r>
          </w:p>
        </w:tc>
        <w:tc>
          <w:tcPr>
            <w:tcW w:w="156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560" w:type="dxa"/>
            <w:tcBorders>
              <w:top w:val="single" w:sz="6" w:space="0" w:color="000000"/>
              <w:start w:val="single" w:sz="6" w:space="0" w:color="000000"/>
              <w:bottom w:val="single" w:sz="6" w:space="0" w:color="000000"/>
            </w:tcBorders>
          </w:tcPr>
          <w:p>
            <w:pPr>
              <w:pStyle w:val="Normal"/>
              <w:snapToGrid w:val="false"/>
              <w:rPr/>
            </w:pPr>
            <w:r>
              <w:rPr/>
            </w:r>
          </w:p>
        </w:tc>
        <w:tc>
          <w:tcPr>
            <w:tcW w:w="1560" w:type="dxa"/>
            <w:tcBorders>
              <w:top w:val="single" w:sz="6" w:space="0" w:color="000000"/>
              <w:start w:val="single" w:sz="6" w:space="0" w:color="000000"/>
              <w:bottom w:val="single" w:sz="6" w:space="0" w:color="000000"/>
            </w:tcBorders>
          </w:tcPr>
          <w:p>
            <w:pPr>
              <w:pStyle w:val="Normal"/>
              <w:snapToGrid w:val="false"/>
              <w:rPr/>
            </w:pPr>
            <w:r>
              <w:rPr/>
            </w:r>
          </w:p>
        </w:tc>
        <w:tc>
          <w:tcPr>
            <w:tcW w:w="1560" w:type="dxa"/>
            <w:tcBorders>
              <w:top w:val="single" w:sz="6" w:space="0" w:color="000000"/>
              <w:start w:val="single" w:sz="6" w:space="0" w:color="000000"/>
              <w:bottom w:val="single" w:sz="6" w:space="0" w:color="000000"/>
            </w:tcBorders>
          </w:tcPr>
          <w:p>
            <w:pPr>
              <w:pStyle w:val="Normal"/>
              <w:snapToGrid w:val="false"/>
              <w:rPr/>
            </w:pPr>
            <w:r>
              <w:rPr/>
            </w:r>
          </w:p>
        </w:tc>
        <w:tc>
          <w:tcPr>
            <w:tcW w:w="1560" w:type="dxa"/>
            <w:tcBorders>
              <w:top w:val="single" w:sz="6" w:space="0" w:color="000000"/>
              <w:start w:val="single" w:sz="6" w:space="0" w:color="000000"/>
              <w:bottom w:val="single" w:sz="6" w:space="0" w:color="000000"/>
            </w:tcBorders>
          </w:tcPr>
          <w:p>
            <w:pPr>
              <w:pStyle w:val="Normal"/>
              <w:snapToGrid w:val="false"/>
              <w:rPr/>
            </w:pPr>
            <w:r>
              <w:rPr/>
            </w:r>
          </w:p>
        </w:tc>
        <w:tc>
          <w:tcPr>
            <w:tcW w:w="1560" w:type="dxa"/>
            <w:tcBorders>
              <w:top w:val="single" w:sz="6" w:space="0" w:color="000000"/>
              <w:start w:val="single" w:sz="6" w:space="0" w:color="000000"/>
              <w:bottom w:val="single" w:sz="6" w:space="0" w:color="000000"/>
            </w:tcBorders>
          </w:tcPr>
          <w:p>
            <w:pPr>
              <w:pStyle w:val="Normal"/>
              <w:snapToGrid w:val="false"/>
              <w:rPr/>
            </w:pPr>
            <w:r>
              <w:rPr/>
            </w:r>
          </w:p>
        </w:tc>
        <w:tc>
          <w:tcPr>
            <w:tcW w:w="15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(OTHER THAN RELATED PARTY CONTRACTS AND 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w:t>
        <w:tab/>
        <w:t>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is Schedules 7.05 and 5.10(b) respectively to this Parent Disclosure Letter) are hereby incorporated in this Schedule by this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1.</w:t>
        <w:tab/>
        <w:t xml:space="preserve">Quota Purchase and Quotaholders Agreement for GasBol dated October 2, 1998 among Enron International Bolivia Holdings Ltd., Shell Gas (Latin America) B.V., Transredes-Transporte de Hidrocarburos S.A., and Gas Oriente Boliviano Ltda.  </w:t>
      </w:r>
      <w:r>
        <w:rPr>
          <w:b/>
        </w:rPr>
        <w:t>[The possibility exists that Transredes might not be able to make the cash calls required under this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2.</w:t>
        <w:tab/>
        <w:t xml:space="preserve">Letter Agreement for GasMat and EPE dated October 2, 1998 among Enron (Bolivia) Brazil C.V., Enron do Brazil Holdings Ltd., Enron Brazil Power Holdings I Ltd., and Transredes-Transporte de Hidrocarburos S.A.  </w:t>
      </w:r>
      <w:r>
        <w:rPr>
          <w:b/>
        </w:rPr>
        <w:t>[The possibility exists that Transredes might not be able to make the cash calls required under this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3.</w:t>
        <w:tab/>
        <w:t xml:space="preserve">The Transredes pipeline system does not conform in its totality to applicable international norms.  </w:t>
      </w:r>
      <w:r>
        <w:rPr>
          <w:b/>
        </w:rPr>
        <w:t>[Company needs to specify if this information which it disclosed actually represents a possible default under a specific contract.]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5.10(c)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SURETYSHIP ARRANGEMENTS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 list of all Suretyship Arrangements and identifies the surety in such arrangement, whether that be the Parent or a Retained Subsidiary: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color w:val="000000"/>
        </w:rPr>
        <w:t>1.</w:t>
        <w:tab/>
        <w:t xml:space="preserve">Secured loan from Enron </w:t>
      </w:r>
      <w:r>
        <w:rPr>
          <w:b/>
          <w:color w:val="000000"/>
        </w:rPr>
        <w:t>[Corp.]</w:t>
      </w:r>
      <w:r>
        <w:rPr>
          <w:color w:val="000000"/>
        </w:rPr>
        <w:t xml:space="preserve"> to Transredes for US$10 million, which is secured by Transredes quotas in GasBol.  Transredes has not drawn funds under this loan, but has under the strength of this loan drawn equivalent funds from a Bolivian bank.  The loan from Enron </w:t>
      </w:r>
      <w:r>
        <w:rPr>
          <w:b/>
          <w:color w:val="000000"/>
        </w:rPr>
        <w:t>[Corp.]</w:t>
      </w:r>
      <w:r>
        <w:rPr>
          <w:color w:val="000000"/>
        </w:rPr>
        <w:t xml:space="preserve"> to Transredes will terminate and settle upon the completion of the contemplated sale of Transredes' quotas in GasBol.</w:t>
      </w:r>
      <w:r>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EMPLOYEE BENEFIT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[Company to supply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5.12(a)(iii)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ACTIONS, INQUIRIES OR PROCEEDINGS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5.12(a)(iii) of the Agreement relating to environmental matters: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w:t>
        <w:tab/>
      </w:r>
      <w:r>
        <w:rPr>
          <w:u w:val="single"/>
        </w:rPr>
        <w:t>Desaguadero River Spill</w:t>
      </w:r>
    </w:p>
    <w:p>
      <w:pPr>
        <w:pStyle w:val="Normal"/>
        <w:ind w:hanging="720" w:start="720" w:end="0"/>
        <w:rPr>
          <w:u w:val="single"/>
        </w:rPr>
      </w:pPr>
      <w:r>
        <w:rPr>
          <w:u w:val="single"/>
        </w:rPr>
      </w:r>
    </w:p>
    <w:p>
      <w:pPr>
        <w:pStyle w:val="Normal"/>
        <w:ind w:hanging="720" w:start="1440" w:end="0"/>
        <w:rPr>
          <w:b/>
          <w:color w:val="000000"/>
        </w:rPr>
      </w:pPr>
      <w:r>
        <w:rPr>
          <w:color w:val="000000"/>
          <w:lang w:val="es-ES"/>
        </w:rPr>
        <w:t>1.</w:t>
        <w:tab/>
        <w:t>Due to the Desaguadero River spill, an official investigation has been initiated by SIRESE regarding an alleged noncompliance with Article 54 of the Regulations Regarding Transportation of Hydrocarbons through Pipelines, which requires maintenance of the pipeline to avoid supervision of service</w:t>
      </w:r>
      <w:r>
        <w:rPr>
          <w:color w:val="000000"/>
        </w:rPr>
        <w:t xml:space="preserve">. </w:t>
      </w:r>
    </w:p>
    <w:p>
      <w:pPr>
        <w:pStyle w:val="Normal"/>
        <w:rPr>
          <w:b/>
          <w:color w:val="000000"/>
        </w:rPr>
      </w:pPr>
      <w:r>
        <w:rPr>
          <w:b/>
          <w:color w:val="000000"/>
        </w:rPr>
      </w:r>
    </w:p>
    <w:p>
      <w:pPr>
        <w:pStyle w:val="Normal"/>
        <w:ind w:hanging="720" w:start="1440" w:end="0"/>
        <w:rPr>
          <w:lang w:val="es-ES"/>
        </w:rPr>
      </w:pPr>
      <w:r>
        <w:rPr>
          <w:lang w:val="es-ES"/>
        </w:rPr>
        <w:t>2.</w:t>
        <w:tab/>
        <w:t xml:space="preserve">It is possible that Transredes could be subject to proceedings before the Vice-Minister of the Environment, Natural Resources and Forest Development regarding the contamination of the Desaguadero River.  </w:t>
      </w:r>
    </w:p>
    <w:p>
      <w:pPr>
        <w:pStyle w:val="Normal"/>
        <w:ind w:hanging="720" w:start="1440" w:end="0"/>
        <w:rPr>
          <w:lang w:val="es-ES"/>
        </w:rPr>
      </w:pPr>
      <w:r>
        <w:rPr>
          <w:lang w:val="es-ES"/>
        </w:rPr>
      </w:r>
    </w:p>
    <w:p>
      <w:pPr>
        <w:pStyle w:val="Normal"/>
        <w:ind w:hanging="720" w:start="1440" w:end="0"/>
        <w:rPr/>
      </w:pPr>
      <w:r>
        <w:rPr/>
        <w:t>3.</w:t>
        <w:tab/>
        <w:t>Dionisia Vásquez – regarding offenses against property and the environment;</w:t>
      </w:r>
    </w:p>
    <w:p>
      <w:pPr>
        <w:pStyle w:val="Normal"/>
        <w:ind w:hanging="720" w:start="1440" w:end="0"/>
        <w:rPr/>
      </w:pPr>
      <w:r>
        <w:rPr/>
      </w:r>
    </w:p>
    <w:p>
      <w:pPr>
        <w:pStyle w:val="Normal"/>
        <w:ind w:hanging="720" w:start="1440" w:end="0"/>
        <w:rPr/>
      </w:pPr>
      <w:r>
        <w:rPr/>
        <w:t>4.</w:t>
        <w:tab/>
        <w:t>Civic Committee of Chuquiña – offenses against the environment;</w:t>
      </w:r>
    </w:p>
    <w:p>
      <w:pPr>
        <w:pStyle w:val="Normal"/>
        <w:ind w:hanging="720" w:start="1440" w:end="0"/>
        <w:rPr/>
      </w:pPr>
      <w:r>
        <w:rPr/>
      </w:r>
    </w:p>
    <w:p>
      <w:pPr>
        <w:pStyle w:val="Normal"/>
        <w:ind w:hanging="720" w:start="1440" w:end="0"/>
        <w:rPr/>
      </w:pPr>
      <w:r>
        <w:rPr/>
        <w:t>5.</w:t>
        <w:tab/>
        <w:t>Township of Santiago de Callapa – civil suit for damages suffered by the community;</w:t>
      </w:r>
    </w:p>
    <w:p>
      <w:pPr>
        <w:pStyle w:val="Normal"/>
        <w:ind w:hanging="720" w:start="1440" w:end="0"/>
        <w:rPr/>
      </w:pPr>
      <w:r>
        <w:rPr/>
      </w:r>
    </w:p>
    <w:p>
      <w:pPr>
        <w:pStyle w:val="Normal"/>
        <w:ind w:hanging="720" w:start="1440" w:end="0"/>
        <w:rPr/>
      </w:pPr>
      <w:r>
        <w:rPr/>
        <w:t>6.</w:t>
        <w:tab/>
        <w:t>3rd Section, Calacoto Province, Department La Paz – Estragos; and</w:t>
      </w:r>
    </w:p>
    <w:p>
      <w:pPr>
        <w:pStyle w:val="Normal"/>
        <w:ind w:hanging="720" w:start="1440" w:end="0"/>
        <w:rPr/>
      </w:pPr>
      <w:r>
        <w:rPr/>
      </w:r>
    </w:p>
    <w:p>
      <w:pPr>
        <w:pStyle w:val="Normal"/>
        <w:ind w:hanging="720" w:start="1440" w:end="0"/>
        <w:rPr/>
      </w:pPr>
      <w:r>
        <w:rPr/>
        <w:t>7.</w:t>
        <w:tab/>
        <w:t>Public Ministry – offenses against public health caused by the spill at Station # 1.</w:t>
      </w:r>
    </w:p>
    <w:p>
      <w:pPr>
        <w:pStyle w:val="Normal"/>
        <w:ind w:hanging="720" w:start="1440" w:end="0"/>
        <w:rPr>
          <w:b/>
        </w:rPr>
      </w:pPr>
      <w:r>
        <w:rPr>
          <w:b/>
        </w:rPr>
      </w:r>
    </w:p>
    <w:p>
      <w:pPr>
        <w:pStyle w:val="Normal"/>
        <w:rPr/>
      </w:pPr>
      <w:r>
        <w:rPr/>
        <w:t>B.</w:t>
        <w:tab/>
      </w:r>
      <w:r>
        <w:rPr>
          <w:u w:val="single"/>
        </w:rPr>
        <w:t>Pirque Ground Spill</w:t>
      </w:r>
    </w:p>
    <w:p>
      <w:pPr>
        <w:pStyle w:val="Normal"/>
        <w:rPr>
          <w:u w:val="single"/>
        </w:rPr>
      </w:pPr>
      <w:r>
        <w:rPr>
          <w:u w:val="single"/>
        </w:rPr>
      </w:r>
    </w:p>
    <w:p>
      <w:pPr>
        <w:pStyle w:val="Normal"/>
        <w:rPr/>
      </w:pPr>
      <w:r>
        <w:rPr/>
        <w:tab/>
        <w:t>None.</w:t>
      </w:r>
    </w:p>
    <w:p>
      <w:pPr>
        <w:pStyle w:val="Normal"/>
        <w:rPr/>
      </w:pPr>
      <w:r>
        <w:rPr/>
      </w:r>
    </w:p>
    <w:p>
      <w:pPr>
        <w:pStyle w:val="Normal"/>
        <w:rPr/>
      </w:pPr>
      <w:r>
        <w:rPr/>
        <w:t>C.</w:t>
        <w:tab/>
      </w:r>
      <w:r>
        <w:rPr>
          <w:u w:val="single"/>
        </w:rPr>
        <w:t>Chorety River Spill</w:t>
      </w:r>
    </w:p>
    <w:p>
      <w:pPr>
        <w:pStyle w:val="Normal"/>
        <w:rPr/>
      </w:pPr>
      <w:r>
        <w:rPr/>
      </w:r>
    </w:p>
    <w:p>
      <w:pPr>
        <w:pStyle w:val="Normal"/>
        <w:rPr/>
      </w:pPr>
      <w:r>
        <w:rPr/>
        <w:tab/>
        <w:t>None.</w:t>
      </w:r>
    </w:p>
    <w:p>
      <w:pPr>
        <w:pStyle w:val="Normal"/>
        <w:rPr/>
      </w:pPr>
      <w:r>
        <w:rPr/>
      </w:r>
      <w:r>
        <w:br w:type="page"/>
      </w:r>
    </w:p>
    <w:p>
      <w:pPr>
        <w:pStyle w:val="Normal"/>
        <w:jc w:val="center"/>
        <w:rPr>
          <w:b/>
        </w:rPr>
      </w:pPr>
      <w:r>
        <w:rPr>
          <w:b/>
        </w:rPr>
        <w:t>SCHEDULE 5.12(a)(v)</w:t>
      </w:r>
    </w:p>
    <w:p>
      <w:pPr>
        <w:pStyle w:val="Normal"/>
        <w:jc w:val="center"/>
        <w:rPr>
          <w:b/>
        </w:rPr>
      </w:pPr>
      <w:r>
        <w:rPr>
          <w:b/>
        </w:rPr>
      </w:r>
    </w:p>
    <w:p>
      <w:pPr>
        <w:pStyle w:val="Normal"/>
        <w:jc w:val="center"/>
        <w:rPr>
          <w:b/>
        </w:rPr>
      </w:pPr>
      <w:r>
        <w:rPr>
          <w:b/>
        </w:rPr>
        <w:t>ENVIRONMENTAL MATTERS</w:t>
      </w:r>
    </w:p>
    <w:p>
      <w:pPr>
        <w:pStyle w:val="Normal"/>
        <w:jc w:val="center"/>
        <w:rPr>
          <w:b/>
        </w:rPr>
      </w:pPr>
      <w:r>
        <w:rPr>
          <w:b/>
        </w:rPr>
        <w:t>RELEASE OF HAZARDOUS SUBSTANCES</w:t>
      </w:r>
    </w:p>
    <w:p>
      <w:pPr>
        <w:pStyle w:val="Normal"/>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b/>
        </w:rPr>
      </w:pPr>
      <w:r>
        <w:rPr>
          <w:b/>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w:t>
        <w:tab/>
      </w:r>
      <w:r>
        <w:rPr>
          <w:u w:val="single"/>
        </w:rPr>
        <w:t>Desaguadero River Spill</w:t>
      </w:r>
      <w:r>
        <w:rPr/>
        <w:t>:</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Clean up has been largely completed except for one municipality.</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II.</w:t>
        <w:tab/>
      </w:r>
      <w:r>
        <w:rPr>
          <w:u w:val="single"/>
        </w:rPr>
        <w:t xml:space="preserve">Pirque Ground Spill:  </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 xml:space="preserve">On July 10, 2000, approximately 2,000 barrels of a mix of medium crude oil and condensate were spilled.  The spill was caused by a contractor's bulldozer accidentally hitting and severing a connection on the pipeline.  The accident, which sprayed a vegetated hillside, had minimal observed ecological impact, did not come into contact with bodies of water and is largely cleaned up.  </w:t>
      </w:r>
      <w:r>
        <w:rPr>
          <w:b/>
        </w:rPr>
        <w:t>[Discuss whether Material]</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III.</w:t>
        <w:tab/>
      </w:r>
      <w:r>
        <w:rPr>
          <w:u w:val="single"/>
        </w:rPr>
        <w:t>Chorety River Spill</w:t>
      </w:r>
      <w:r>
        <w:rPr/>
        <w:t>:</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ab/>
        <w:t xml:space="preserve">On July 13, 2000, approximately 300 to 600 barrels of light crude oil were spilled due to a contractor cutting down a tree which fell on a crude-carrying pipeline.  The pipeline subsequently discharged light crude oil into a small creek which leads into a river bordered by several downstream communities.  This spill has been largely cleaned up.  </w:t>
      </w:r>
      <w:r>
        <w:rPr>
          <w:b/>
        </w:rPr>
        <w:t>[Discuss whether Material]</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IV.</w:t>
        <w:tab/>
      </w:r>
      <w:r>
        <w:rPr>
          <w:u w:val="single"/>
        </w:rPr>
        <w:t>General List of Releases for 1999 and 2000</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rPr>
          <w:b/>
        </w:rPr>
      </w:pPr>
      <w:r>
        <w:rPr>
          <w:b/>
        </w:rPr>
        <w:t>[Company to confirm that the releases listed in the following tables are Material.]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tbl>
      <w:tblPr>
        <w:tblW w:w="10308" w:type="dxa"/>
        <w:jc w:val="start"/>
        <w:tblInd w:w="0" w:type="dxa"/>
        <w:tblLayout w:type="fixed"/>
        <w:tblCellMar>
          <w:top w:w="0" w:type="dxa"/>
          <w:start w:w="30" w:type="dxa"/>
          <w:bottom w:w="0" w:type="dxa"/>
          <w:end w:w="30" w:type="dxa"/>
        </w:tblCellMar>
      </w:tblPr>
      <w:tblGrid>
        <w:gridCol w:w="3043"/>
        <w:gridCol w:w="1219"/>
        <w:gridCol w:w="2878"/>
        <w:gridCol w:w="1350"/>
        <w:gridCol w:w="1080"/>
        <w:gridCol w:w="738"/>
      </w:tblGrid>
      <w:tr>
        <w:trPr>
          <w:trHeight w:val="314" w:hRule="atLeast"/>
        </w:trPr>
        <w:tc>
          <w:tcPr>
            <w:tcW w:w="10308" w:type="dxa"/>
            <w:gridSpan w:val="6"/>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b/>
                <w:color w:val="000000"/>
                <w:sz w:val="28"/>
                <w:lang w:eastAsia="en-US"/>
              </w:rPr>
              <w:t>Record of Releases 1999</w:t>
            </w:r>
          </w:p>
        </w:tc>
      </w:tr>
      <w:tr>
        <w:trPr>
          <w:trHeight w:val="223" w:hRule="atLeast"/>
        </w:trPr>
        <w:tc>
          <w:tcPr>
            <w:tcW w:w="3043" w:type="dxa"/>
            <w:tcBorders>
              <w:top w:val="single" w:sz="2" w:space="0" w:color="000000"/>
              <w:start w:val="single" w:sz="2" w:space="0" w:color="000000"/>
              <w:bottom w:val="single" w:sz="6"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9"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878" w:type="dxa"/>
            <w:tcBorders>
              <w:top w:val="single" w:sz="2" w:space="0" w:color="000000"/>
              <w:start w:val="single" w:sz="2" w:space="0" w:color="000000"/>
              <w:bottom w:val="single" w:sz="6"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Event</w:t>
            </w:r>
          </w:p>
        </w:tc>
        <w:tc>
          <w:tcPr>
            <w:tcW w:w="121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Date of Event</w:t>
            </w:r>
          </w:p>
        </w:tc>
        <w:tc>
          <w:tcPr>
            <w:tcW w:w="2878"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Nature of Event</w:t>
            </w:r>
          </w:p>
        </w:tc>
        <w:tc>
          <w:tcPr>
            <w:tcW w:w="13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Preliminary Report</w:t>
            </w:r>
          </w:p>
        </w:tc>
        <w:tc>
          <w:tcPr>
            <w:tcW w:w="1818" w:type="dxa"/>
            <w:gridSpan w:val="2"/>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Detailed Report</w:t>
            </w:r>
          </w:p>
        </w:tc>
        <w:tc>
          <w:tcPr>
            <w:tcW w:w="0" w:type="dxa"/>
            <w:vMerge w:val="continue"/>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OSSA 1(zona El Salao)</w:t>
            </w:r>
          </w:p>
        </w:tc>
        <w:tc>
          <w:tcPr>
            <w:tcW w:w="1219" w:type="dxa"/>
            <w:tcBorders>
              <w:top w:val="single" w:sz="6"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 9/98</w:t>
            </w:r>
          </w:p>
        </w:tc>
        <w:tc>
          <w:tcPr>
            <w:tcW w:w="2878"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petróleo 600 Bbls</w:t>
            </w:r>
          </w:p>
        </w:tc>
        <w:tc>
          <w:tcPr>
            <w:tcW w:w="1350" w:type="dxa"/>
            <w:tcBorders>
              <w:top w:val="single" w:sz="6"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27/1/99</w:t>
            </w:r>
          </w:p>
        </w:tc>
        <w:tc>
          <w:tcPr>
            <w:tcW w:w="1080" w:type="dxa"/>
            <w:tcBorders>
              <w:top w:val="single" w:sz="6"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23/2/99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2 (zona Ivicuaty)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19 / 1 / 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condensado 4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ONSZ 2 (Oleoc. Carra-Cbba)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 / 1 / 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petróleo 600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Cambeiti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 de petróleo</w:t>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28/5/99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OCCH (Sector Cordillera Iñau-Cerrillos)</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crudo 100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17/2/99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(Caiza-cerca de Pocitos)</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 20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15/6/99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(Sector Isiri)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20/4/99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 de GLP</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23/4/99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OCCH (Sector Tamigua)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20/4/99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 de petroleo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23/4/99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GRGY (Terminal Yacuiba)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2/5/99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4/5/99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Estación 1</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5/5/99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Filtrado de Petroleo</w:t>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28/5/99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Ivicuaty 2</w:t>
            </w:r>
          </w:p>
        </w:tc>
        <w:tc>
          <w:tcPr>
            <w:tcW w:w="121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2878"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14/7/99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ORSZ (Sector Río Pantano)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12/6/99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diesel de 4Bbls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18/6/99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26/7/99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La Peña-OSRZ (Sector el Palmar)</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13/6/99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petróleo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18/6/9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26/7/99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Lat la Peña-OSRZ (Sector la Peña)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14/6/99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petroleo (56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18/6/99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26/7/99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OSSA 1 (Estación 1)</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7/7/99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petróleo 12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9/7/99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28/7/99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Tiguipa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6/7/99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GLP</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6/7/99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18/8/99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ONSZ 1</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18/9/99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petróleo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10/8/99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27/9/99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Kalena (Sector Charaña)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22/8/99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petróleo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23/8/99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15/9/99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Río Pantano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31/8/99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3/9/99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 Surubí</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31/8/99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3/9/99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17/9/99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Algarrobal</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9/9/99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9/9/99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9/11/99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OSSA 1 (Terminal Cbb)</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10/9/99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GLP</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15/9/99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(Taquiperenda-Sucre)</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13/9/99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15/9/99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(Taquiperenda-Cbb)</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21/9/99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22/9/99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6" w:space="0" w:color="000000"/>
            </w:tcBorders>
          </w:tcPr>
          <w:p>
            <w:pPr>
              <w:pStyle w:val="Normal"/>
              <w:snapToGrid w:val="false"/>
              <w:rPr>
                <w:rFonts w:ascii="Arial" w:hAnsi="Arial" w:cs="Arial"/>
                <w:color w:val="000000"/>
                <w:sz w:val="16"/>
                <w:lang w:eastAsia="en-US"/>
              </w:rPr>
            </w:pPr>
            <w:r>
              <w:rPr>
                <w:rFonts w:cs="Arial" w:ascii="Arial" w:hAnsi="Arial"/>
                <w:color w:val="000000"/>
                <w:sz w:val="16"/>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(Taquiperenda-Cbb)</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7/10/99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 de bombeo 1 (Vieja)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8/10/99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28/10/99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OCCH - Guapoy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petróleo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2 - Est. Choretty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 reconstituído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OCY-1 Cañón Choretty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condensado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 Sector Caiza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diesel Oil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Huayñacota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28/10/99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 Taquiperenda Cbb</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Guirarapo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31/10/99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Derrame de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ORSZ (Brecha 4 1/2)</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9/11/99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10/11/99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6/12/99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(Caiza)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15/11/99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2 (Chorety)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13/11/99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15/11/99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ORSZ (Sector Río Pantano)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13/11/99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Filtración</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15/11/99</w:t>
            </w:r>
          </w:p>
        </w:tc>
        <w:tc>
          <w:tcPr>
            <w:tcW w:w="108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6/12/99</w:t>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ONSZ 1 (Est. H. Suarez Roca)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26/11/99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Petróleo crudo (200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(Caiza)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 xml:space="preserve">27/11/99 </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Petróleo crudo (600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(Caiza)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Petróleo crudo (20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(Paralela)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Petróleo crudo (60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(Caiza)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7/12/99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 10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(Palmar Grande)</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14/12/99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 7 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 Humberto S. Rocha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15/12/99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Petróleo Crudo (50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(Barrio San José)</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16/12/99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 (1 Bbl)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del Inti)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 (200 lts)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GAA (Sector Molle Molle)</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23/12/99</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(Alto Camiri)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23/12/99</w:t>
            </w:r>
          </w:p>
        </w:tc>
        <w:tc>
          <w:tcPr>
            <w:tcW w:w="2878"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No enviado</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2 (San José)</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29/12/99</w:t>
            </w:r>
          </w:p>
        </w:tc>
        <w:tc>
          <w:tcPr>
            <w:tcW w:w="2878"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No enviado</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(Est. Qhora-Qhora)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30/12/99</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4/1/00</w:t>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23" w:hRule="atLeast"/>
        </w:trPr>
        <w:tc>
          <w:tcPr>
            <w:tcW w:w="3043" w:type="dxa"/>
            <w:tcBorders>
              <w:top w:val="single" w:sz="2" w:space="0" w:color="000000"/>
              <w:start w:val="single" w:sz="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del Inti)</w:t>
            </w:r>
          </w:p>
        </w:tc>
        <w:tc>
          <w:tcPr>
            <w:tcW w:w="1219" w:type="dxa"/>
            <w:tcBorders>
              <w:top w:val="single" w:sz="2"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31/12/99</w:t>
            </w:r>
          </w:p>
        </w:tc>
        <w:tc>
          <w:tcPr>
            <w:tcW w:w="2878"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2"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4/1/00</w:t>
            </w:r>
          </w:p>
        </w:tc>
        <w:tc>
          <w:tcPr>
            <w:tcW w:w="1080" w:type="dxa"/>
            <w:tcBorders>
              <w:top w:val="single" w:sz="2"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738" w:type="dxa"/>
            <w:tcBorders>
              <w:top w:val="single" w:sz="2" w:space="0" w:color="000000"/>
              <w:start w:val="single" w:sz="6"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tbl>
      <w:tblPr>
        <w:tblW w:w="9509" w:type="dxa"/>
        <w:jc w:val="start"/>
        <w:tblInd w:w="-60" w:type="dxa"/>
        <w:tblLayout w:type="fixed"/>
        <w:tblCellMar>
          <w:top w:w="0" w:type="dxa"/>
          <w:start w:w="30" w:type="dxa"/>
          <w:bottom w:w="0" w:type="dxa"/>
          <w:end w:w="30" w:type="dxa"/>
        </w:tblCellMar>
      </w:tblPr>
      <w:tblGrid>
        <w:gridCol w:w="3103"/>
        <w:gridCol w:w="1219"/>
        <w:gridCol w:w="2878"/>
        <w:gridCol w:w="1350"/>
        <w:gridCol w:w="959"/>
      </w:tblGrid>
      <w:tr>
        <w:trPr>
          <w:trHeight w:val="314" w:hRule="atLeast"/>
        </w:trPr>
        <w:tc>
          <w:tcPr>
            <w:tcW w:w="9509" w:type="dxa"/>
            <w:gridSpan w:val="5"/>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sz w:val="28"/>
                <w:lang w:eastAsia="en-US"/>
              </w:rPr>
            </w:pPr>
            <w:r>
              <w:rPr>
                <w:rFonts w:cs="Arial" w:ascii="Arial" w:hAnsi="Arial"/>
                <w:b/>
                <w:color w:val="000000"/>
                <w:sz w:val="28"/>
                <w:lang w:eastAsia="en-US"/>
              </w:rPr>
              <w:t>Record of Releases 2000</w:t>
            </w:r>
          </w:p>
        </w:tc>
      </w:tr>
      <w:tr>
        <w:trPr>
          <w:trHeight w:val="223" w:hRule="atLeast"/>
        </w:trPr>
        <w:tc>
          <w:tcPr>
            <w:tcW w:w="3103" w:type="dxa"/>
            <w:tcBorders>
              <w:top w:val="single" w:sz="2" w:space="0" w:color="000000"/>
              <w:start w:val="single" w:sz="2" w:space="0" w:color="000000"/>
              <w:bottom w:val="single" w:sz="6" w:space="0" w:color="000000"/>
              <w:end w:val="single" w:sz="2" w:space="0" w:color="000000"/>
            </w:tcBorders>
          </w:tcPr>
          <w:p>
            <w:pPr>
              <w:pStyle w:val="Normal"/>
              <w:snapToGrid w:val="false"/>
              <w:jc w:val="end"/>
              <w:rPr>
                <w:rFonts w:ascii="Arial" w:hAnsi="Arial" w:cs="Arial"/>
                <w:b/>
                <w:color w:val="000000"/>
                <w:sz w:val="28"/>
                <w:lang w:eastAsia="en-US"/>
              </w:rPr>
            </w:pPr>
            <w:r>
              <w:rPr>
                <w:rFonts w:cs="Arial" w:ascii="Arial" w:hAnsi="Arial"/>
                <w:b/>
                <w:color w:val="000000"/>
                <w:sz w:val="28"/>
                <w:lang w:eastAsia="en-US"/>
              </w:rPr>
            </w:r>
          </w:p>
        </w:tc>
        <w:tc>
          <w:tcPr>
            <w:tcW w:w="1219"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878" w:type="dxa"/>
            <w:tcBorders>
              <w:top w:val="single" w:sz="2" w:space="0" w:color="000000"/>
              <w:start w:val="single" w:sz="2" w:space="0" w:color="000000"/>
              <w:bottom w:val="single" w:sz="6"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959" w:type="dxa"/>
            <w:tcBorders>
              <w:top w:val="single" w:sz="2" w:space="0" w:color="000000"/>
              <w:start w:val="single" w:sz="2" w:space="0" w:color="000000"/>
              <w:bottom w:val="single" w:sz="6"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Event</w:t>
            </w:r>
          </w:p>
        </w:tc>
        <w:tc>
          <w:tcPr>
            <w:tcW w:w="121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Date of Event</w:t>
            </w:r>
          </w:p>
        </w:tc>
        <w:tc>
          <w:tcPr>
            <w:tcW w:w="2878"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color w:val="000000"/>
                <w:lang w:eastAsia="en-US"/>
              </w:rPr>
            </w:pPr>
            <w:r>
              <w:rPr>
                <w:rFonts w:cs="Arial" w:ascii="Arial" w:hAnsi="Arial"/>
                <w:color w:val="000000"/>
                <w:lang w:eastAsia="en-US"/>
              </w:rPr>
              <w:t>Nature of Event</w:t>
            </w:r>
          </w:p>
        </w:tc>
        <w:tc>
          <w:tcPr>
            <w:tcW w:w="13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Preliminary Report</w:t>
            </w:r>
          </w:p>
        </w:tc>
        <w:tc>
          <w:tcPr>
            <w:tcW w:w="959"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Arial" w:hAnsi="Arial" w:cs="Arial"/>
                <w:color w:val="000000"/>
                <w:lang w:eastAsia="en-US"/>
              </w:rPr>
            </w:pPr>
            <w:r>
              <w:rPr>
                <w:rFonts w:cs="Arial" w:ascii="Arial" w:hAnsi="Arial"/>
                <w:color w:val="000000"/>
                <w:lang w:eastAsia="en-US"/>
              </w:rPr>
              <w:t>Detailed Report</w:t>
            </w:r>
          </w:p>
        </w:tc>
      </w:tr>
      <w:tr>
        <w:trPr>
          <w:trHeight w:val="223" w:hRule="atLeast"/>
        </w:trPr>
        <w:tc>
          <w:tcPr>
            <w:tcW w:w="3103"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(Charaguami)</w:t>
            </w:r>
          </w:p>
        </w:tc>
        <w:tc>
          <w:tcPr>
            <w:tcW w:w="1219" w:type="dxa"/>
            <w:tcBorders>
              <w:top w:val="single" w:sz="6"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3/1/00</w:t>
            </w:r>
          </w:p>
        </w:tc>
        <w:tc>
          <w:tcPr>
            <w:tcW w:w="2878"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6"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4/1/00</w:t>
            </w:r>
          </w:p>
        </w:tc>
        <w:tc>
          <w:tcPr>
            <w:tcW w:w="959" w:type="dxa"/>
            <w:tcBorders>
              <w:top w:val="single" w:sz="6"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Inti)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4/1/00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 (fax 7/1/00)</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OSSA 2 (Patacamaya)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5/1/00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 C (fax 7/1/00)</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ONSZ 1 (San Juan de Palometilla)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7/1/00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 (fax 7/1/00)</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29/2/00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Villamontes Tarija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11/1/00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12/1/00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30/3/00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Lateral Gauiruy OCY1 (Yutu)</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28/1/00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Acometida GAA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25/1/00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25/1/00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GAA (Río Desaguadero)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31/1/00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 Reconstituído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Estación Chorety</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12/2/00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21/2/00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5/5/00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(Aguaracito)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 xml:space="preserve">19/2/00 </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Nada</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21/2/00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9/5/00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(Quebrada de Yotala)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20/2/00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21/2/00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30/3/00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Estación Samaipata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19/2/00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Vivienda contratista</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No enviado</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(Aguarayacito)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29/2/00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29/2/00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12/4/00</w:t>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(Yaguacua)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18/3/00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21/3/00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GAA (Secto Vila Vila)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21/3/00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22/3/00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Inti)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21/3/00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22/3/00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Los Pozos)</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27/3/00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29/3/00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9/5/00</w:t>
            </w:r>
          </w:p>
        </w:tc>
      </w:tr>
      <w:tr>
        <w:trPr>
          <w:trHeight w:val="223" w:hRule="atLeast"/>
        </w:trPr>
        <w:tc>
          <w:tcPr>
            <w:tcW w:w="3103"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ORSZ (Sector Río Pantano)</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31/3/00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 (2bbls)</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7/4/00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9/5/00</w:t>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(Orkansa)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16/4/00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17/4/00</w:t>
            </w:r>
          </w:p>
        </w:tc>
        <w:tc>
          <w:tcPr>
            <w:tcW w:w="95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5/5/00</w:t>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(Boyuibe)</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19/4/00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Contaminado GLP</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24/4/00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(Abra de San José)</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19/4/00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Condensado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24/4/00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(Quebrada Terin)</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20/4/00</w:t>
            </w:r>
          </w:p>
        </w:tc>
        <w:tc>
          <w:tcPr>
            <w:tcW w:w="2878"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24/4/00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OCSZ 2 (Zanja Honda)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25/4/00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GLP y Gas Licuado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27/4/00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OCSZ 2 (Sector Peji)</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5/5/00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GLP (vol.despreciable)</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8/5/00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GTC (Jaruma)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8/5/00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9/5/00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Lateral Guairuy (Itaquise)</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8/5/00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10/5/00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2"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ORSZ (Palmasola)</w:t>
            </w:r>
          </w:p>
        </w:tc>
        <w:tc>
          <w:tcPr>
            <w:tcW w:w="1219"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10/5/00</w:t>
            </w:r>
          </w:p>
        </w:tc>
        <w:tc>
          <w:tcPr>
            <w:tcW w:w="2878" w:type="dxa"/>
            <w:tcBorders>
              <w:top w:val="single" w:sz="2"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Petroleo Crudo</w:t>
            </w:r>
          </w:p>
        </w:tc>
        <w:tc>
          <w:tcPr>
            <w:tcW w:w="1350" w:type="dxa"/>
            <w:tcBorders>
              <w:top w:val="single" w:sz="2" w:space="0" w:color="000000"/>
              <w:start w:val="single" w:sz="6" w:space="0" w:color="000000"/>
              <w:bottom w:val="single" w:sz="2"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10/5/00</w:t>
            </w:r>
          </w:p>
        </w:tc>
        <w:tc>
          <w:tcPr>
            <w:tcW w:w="959"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GAA (Huachaca)</w:t>
            </w:r>
          </w:p>
        </w:tc>
        <w:tc>
          <w:tcPr>
            <w:tcW w:w="1219" w:type="dxa"/>
            <w:tcBorders>
              <w:top w:val="single" w:sz="2"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16/05/00</w:t>
            </w:r>
          </w:p>
        </w:tc>
        <w:tc>
          <w:tcPr>
            <w:tcW w:w="2878"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Gas Natural</w:t>
            </w:r>
          </w:p>
        </w:tc>
        <w:tc>
          <w:tcPr>
            <w:tcW w:w="1350" w:type="dxa"/>
            <w:tcBorders>
              <w:top w:val="single" w:sz="2"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18/5/00</w:t>
            </w:r>
          </w:p>
        </w:tc>
        <w:tc>
          <w:tcPr>
            <w:tcW w:w="959" w:type="dxa"/>
            <w:tcBorders>
              <w:top w:val="single" w:sz="2"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(Pocitos)</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17/05/00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18/5/00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(Sunchal)</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17/05/00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Diesel Oil</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18/5/00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Paralela (Pocitos)</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22/05/00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Petroleo Crudo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23/5/00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1 (Boyuibe)</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24/05/00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GLP</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start"/>
              <w:rPr>
                <w:rFonts w:ascii="Arial" w:hAnsi="Arial" w:cs="Arial"/>
                <w:color w:val="000000"/>
                <w:lang w:eastAsia="en-US"/>
              </w:rPr>
            </w:pPr>
            <w:r>
              <w:rPr>
                <w:rFonts w:cs="Arial" w:ascii="Arial" w:hAnsi="Arial"/>
                <w:color w:val="000000"/>
                <w:lang w:eastAsia="en-US"/>
              </w:rPr>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LOPÑ (Ñancaroinza)</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30/05/00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Condensado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31/5/00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OCCH (Cerrillos)</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1/6/00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8/6/00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OCY 2 (Abra de San José)</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1/6/00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8/6/00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23" w:hRule="atLeast"/>
        </w:trPr>
        <w:tc>
          <w:tcPr>
            <w:tcW w:w="3103"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ONSZ 1 (San Juan de Palometilla)</w:t>
            </w:r>
          </w:p>
        </w:tc>
        <w:tc>
          <w:tcPr>
            <w:tcW w:w="1219"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12/6/00</w:t>
            </w:r>
          </w:p>
        </w:tc>
        <w:tc>
          <w:tcPr>
            <w:tcW w:w="2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Crudo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start"/>
              <w:rPr>
                <w:rFonts w:ascii="Arial" w:hAnsi="Arial" w:cs="Arial"/>
                <w:color w:val="000000"/>
                <w:lang w:eastAsia="en-US"/>
              </w:rPr>
            </w:pPr>
            <w:r>
              <w:rPr>
                <w:rFonts w:cs="Arial" w:ascii="Arial" w:hAnsi="Arial"/>
                <w:color w:val="000000"/>
                <w:lang w:eastAsia="en-US"/>
              </w:rPr>
              <w:t>12/6/00</w:t>
            </w:r>
          </w:p>
        </w:tc>
        <w:tc>
          <w:tcPr>
            <w:tcW w:w="95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ENVIRONMENTAL MATTERS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AUDITS AND STUDIES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[Company to review to determine which items, if any, should be deleted from this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subsection 5.12(b) of the Agreement relating to environmental matters:</w:t>
      </w:r>
    </w:p>
    <w:p>
      <w:pPr>
        <w:pStyle w:val="Normal"/>
        <w:tabs>
          <w:tab w:val="clear" w:pos="720"/>
          <w:tab w:val="left" w:pos="7560" w:leader="none"/>
        </w:tabs>
        <w:rPr/>
      </w:pPr>
      <w:r>
        <w:rPr/>
      </w:r>
    </w:p>
    <w:tbl>
      <w:tblPr>
        <w:tblW w:w="9480" w:type="dxa"/>
        <w:jc w:val="start"/>
        <w:tblInd w:w="0" w:type="dxa"/>
        <w:tblLayout w:type="fixed"/>
        <w:tblCellMar>
          <w:top w:w="0" w:type="dxa"/>
          <w:start w:w="30" w:type="dxa"/>
          <w:bottom w:w="0" w:type="dxa"/>
          <w:end w:w="30" w:type="dxa"/>
        </w:tblCellMar>
      </w:tblPr>
      <w:tblGrid>
        <w:gridCol w:w="7118"/>
        <w:gridCol w:w="2362"/>
      </w:tblGrid>
      <w:tr>
        <w:trPr>
          <w:trHeight w:val="245" w:hRule="atLeast"/>
        </w:trPr>
        <w:tc>
          <w:tcPr>
            <w:tcW w:w="7118" w:type="dxa"/>
            <w:tcBorders/>
          </w:tcPr>
          <w:p>
            <w:pPr>
              <w:pStyle w:val="Normal"/>
              <w:jc w:val="center"/>
              <w:rPr>
                <w:b/>
                <w:u w:val="single"/>
                <w:lang w:eastAsia="en-US"/>
              </w:rPr>
            </w:pPr>
            <w:r>
              <w:rPr>
                <w:b/>
                <w:u w:val="single"/>
                <w:lang w:eastAsia="en-US"/>
              </w:rPr>
              <w:t>Audits and Studies</w:t>
            </w:r>
          </w:p>
        </w:tc>
        <w:tc>
          <w:tcPr>
            <w:tcW w:w="2362" w:type="dxa"/>
            <w:tcBorders/>
          </w:tcPr>
          <w:p>
            <w:pPr>
              <w:pStyle w:val="Normal"/>
              <w:tabs>
                <w:tab w:val="clear" w:pos="720"/>
                <w:tab w:val="left" w:pos="352" w:leader="none"/>
              </w:tabs>
              <w:jc w:val="start"/>
              <w:rPr/>
            </w:pPr>
            <w:r>
              <w:rPr>
                <w:b/>
                <w:lang w:eastAsia="en-US"/>
              </w:rPr>
              <w:tab/>
            </w:r>
            <w:r>
              <w:rPr>
                <w:b/>
                <w:u w:val="single"/>
                <w:lang w:eastAsia="en-US"/>
              </w:rPr>
              <w:t>Date</w:t>
            </w:r>
          </w:p>
        </w:tc>
      </w:tr>
      <w:tr>
        <w:trPr>
          <w:trHeight w:val="245" w:hRule="atLeast"/>
        </w:trPr>
        <w:tc>
          <w:tcPr>
            <w:tcW w:w="7118" w:type="dxa"/>
            <w:tcBorders/>
          </w:tcPr>
          <w:p>
            <w:pPr>
              <w:pStyle w:val="Normal"/>
              <w:snapToGrid w:val="false"/>
              <w:rPr>
                <w:b/>
                <w:u w:val="single"/>
                <w:lang w:eastAsia="en-US"/>
              </w:rPr>
            </w:pPr>
            <w:r>
              <w:rPr>
                <w:b/>
                <w:u w:val="single"/>
                <w:lang w:eastAsia="en-US"/>
              </w:rPr>
            </w:r>
          </w:p>
        </w:tc>
        <w:tc>
          <w:tcPr>
            <w:tcW w:w="2362" w:type="dxa"/>
            <w:tcBorders/>
          </w:tcPr>
          <w:p>
            <w:pPr>
              <w:pStyle w:val="Normal"/>
              <w:snapToGrid w:val="false"/>
              <w:jc w:val="start"/>
              <w:rPr>
                <w:lang w:eastAsia="en-US"/>
              </w:rPr>
            </w:pPr>
            <w:r>
              <w:rPr>
                <w:lang w:eastAsia="en-US"/>
              </w:rPr>
            </w:r>
          </w:p>
        </w:tc>
      </w:tr>
      <w:tr>
        <w:trPr>
          <w:trHeight w:val="720" w:hRule="atLeast"/>
        </w:trPr>
        <w:tc>
          <w:tcPr>
            <w:tcW w:w="7118" w:type="dxa"/>
            <w:tcBorders/>
          </w:tcPr>
          <w:p>
            <w:pPr>
              <w:pStyle w:val="Normal"/>
              <w:tabs>
                <w:tab w:val="clear" w:pos="720"/>
                <w:tab w:val="left" w:pos="540" w:leader="none"/>
              </w:tabs>
              <w:ind w:hanging="360" w:start="360" w:end="0"/>
              <w:rPr>
                <w:lang w:eastAsia="en-US"/>
              </w:rPr>
            </w:pPr>
            <w:r>
              <w:rPr>
                <w:lang w:eastAsia="en-US"/>
              </w:rPr>
              <w:t>1.</w:t>
              <w:tab/>
              <w:t>Raytheon Engineers and Contractors Latinamerica Report of Phase II Environmental Studies of the oil and gas facilities of Transredes.</w:t>
            </w:r>
          </w:p>
        </w:tc>
        <w:tc>
          <w:tcPr>
            <w:tcW w:w="2362" w:type="dxa"/>
            <w:tcBorders/>
          </w:tcPr>
          <w:p>
            <w:pPr>
              <w:pStyle w:val="Normal"/>
              <w:tabs>
                <w:tab w:val="clear" w:pos="720"/>
                <w:tab w:val="left" w:pos="352" w:leader="none"/>
              </w:tabs>
              <w:jc w:val="start"/>
              <w:rPr>
                <w:lang w:eastAsia="en-US"/>
              </w:rPr>
            </w:pPr>
            <w:r>
              <w:rPr>
                <w:lang w:eastAsia="en-US"/>
              </w:rPr>
              <w:tab/>
              <w:t>April 17, 1998</w:t>
            </w:r>
          </w:p>
        </w:tc>
      </w:tr>
      <w:tr>
        <w:trPr>
          <w:trHeight w:val="1328" w:hRule="atLeast"/>
        </w:trPr>
        <w:tc>
          <w:tcPr>
            <w:tcW w:w="7118" w:type="dxa"/>
            <w:tcBorders/>
          </w:tcPr>
          <w:p>
            <w:pPr>
              <w:pStyle w:val="Normal"/>
              <w:tabs>
                <w:tab w:val="clear" w:pos="720"/>
                <w:tab w:val="left" w:pos="360" w:leader="none"/>
              </w:tabs>
              <w:ind w:hanging="360" w:start="360" w:end="0"/>
              <w:rPr>
                <w:lang w:eastAsia="en-US"/>
              </w:rPr>
            </w:pPr>
            <w:r>
              <w:rPr>
                <w:lang w:eastAsia="en-US"/>
              </w:rPr>
              <w:t>2.</w:t>
              <w:tab/>
              <w:t>Declaratoria de Adecuación Ambiental del Manifiesto Ambiental, Sistema I correspondiente a las Estaciones de Bombeo I, Caranda, Humberto Suarez Roca, Yapacaní y Carrasco, así como de los oleoductos Estación I-Palmasola-Estación I, Surubí-Carrasco, Carrasco-Caranda, Vibora-Caranda y Caranda-Santa Cruz de Transredes.</w:t>
            </w:r>
          </w:p>
        </w:tc>
        <w:tc>
          <w:tcPr>
            <w:tcW w:w="2362" w:type="dxa"/>
            <w:tcBorders/>
          </w:tcPr>
          <w:p>
            <w:pPr>
              <w:pStyle w:val="Normal"/>
              <w:tabs>
                <w:tab w:val="clear" w:pos="720"/>
                <w:tab w:val="left" w:pos="352" w:leader="none"/>
              </w:tabs>
              <w:jc w:val="start"/>
              <w:rPr>
                <w:lang w:eastAsia="en-US"/>
              </w:rPr>
            </w:pPr>
            <w:r>
              <w:rPr>
                <w:lang w:eastAsia="en-US"/>
              </w:rPr>
              <w:tab/>
              <w:t>August 13, 1999</w:t>
            </w:r>
          </w:p>
        </w:tc>
      </w:tr>
      <w:tr>
        <w:trPr>
          <w:trHeight w:val="243"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1155" w:hRule="atLeast"/>
        </w:trPr>
        <w:tc>
          <w:tcPr>
            <w:tcW w:w="7118" w:type="dxa"/>
            <w:tcBorders/>
          </w:tcPr>
          <w:p>
            <w:pPr>
              <w:pStyle w:val="Normal"/>
              <w:tabs>
                <w:tab w:val="clear" w:pos="720"/>
                <w:tab w:val="left" w:pos="360" w:leader="none"/>
              </w:tabs>
              <w:ind w:hanging="360" w:start="360" w:end="0"/>
              <w:rPr>
                <w:lang w:eastAsia="en-US"/>
              </w:rPr>
            </w:pPr>
            <w:r>
              <w:rPr>
                <w:lang w:eastAsia="en-US"/>
              </w:rPr>
              <w:t>3.</w:t>
              <w:tab/>
              <w:t>Declaratoria de Adecuación Ambiental del Manifiesto Ambiental Sistema II correspondiente a las Estaciones de Bombeo Choreti, Tiguipa Yacuiba, Cerillos, Oleoductos Camiri-Santa Cruz, Camiri-Yacuiba, Yacuiba-Camiri, Cerillos -Choreti, Laterales Camatindi, Cambeiti, Porvenir, Vuelta Grande, San Roque, La Vertiente.</w:t>
            </w:r>
          </w:p>
        </w:tc>
        <w:tc>
          <w:tcPr>
            <w:tcW w:w="2362" w:type="dxa"/>
            <w:tcBorders/>
          </w:tcPr>
          <w:p>
            <w:pPr>
              <w:pStyle w:val="Normal"/>
              <w:tabs>
                <w:tab w:val="clear" w:pos="720"/>
                <w:tab w:val="left" w:pos="352" w:leader="none"/>
              </w:tabs>
              <w:jc w:val="start"/>
              <w:rPr>
                <w:lang w:eastAsia="en-US"/>
              </w:rPr>
            </w:pPr>
            <w:r>
              <w:rPr>
                <w:lang w:eastAsia="en-US"/>
              </w:rPr>
              <w:tab/>
              <w:t>October 22, 1999</w:t>
            </w:r>
          </w:p>
        </w:tc>
      </w:tr>
      <w:tr>
        <w:trPr>
          <w:trHeight w:val="216"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1197" w:hRule="atLeast"/>
        </w:trPr>
        <w:tc>
          <w:tcPr>
            <w:tcW w:w="7118" w:type="dxa"/>
            <w:tcBorders/>
          </w:tcPr>
          <w:p>
            <w:pPr>
              <w:pStyle w:val="Normal"/>
              <w:tabs>
                <w:tab w:val="clear" w:pos="720"/>
                <w:tab w:val="left" w:pos="360" w:leader="none"/>
              </w:tabs>
              <w:ind w:hanging="360" w:start="360" w:end="0"/>
              <w:rPr>
                <w:lang w:eastAsia="en-US"/>
              </w:rPr>
            </w:pPr>
            <w:r>
              <w:rPr>
                <w:lang w:eastAsia="en-US"/>
              </w:rPr>
              <w:t>4.</w:t>
              <w:tab/>
              <w:t>Declaratoria de Adecuación Ambiental del Manifiesto Ambiental Sistema III correspondiente a las Estaciones de Bombeo Samaipata, Buena Vista, Sayari, Sica Sica, Oconi, oleoductos Rio Grande-Santa Cruz, Santa Cruz-Huayñacota, Oleoducto Huayñacota-Charaña.</w:t>
            </w:r>
          </w:p>
        </w:tc>
        <w:tc>
          <w:tcPr>
            <w:tcW w:w="2362" w:type="dxa"/>
            <w:tcBorders/>
          </w:tcPr>
          <w:p>
            <w:pPr>
              <w:pStyle w:val="Normal"/>
              <w:tabs>
                <w:tab w:val="clear" w:pos="720"/>
                <w:tab w:val="left" w:pos="352" w:leader="none"/>
              </w:tabs>
              <w:jc w:val="start"/>
              <w:rPr>
                <w:lang w:eastAsia="en-US"/>
              </w:rPr>
            </w:pPr>
            <w:r>
              <w:rPr>
                <w:lang w:eastAsia="en-US"/>
              </w:rPr>
              <w:tab/>
              <w:t>October 26, 1999</w:t>
            </w:r>
          </w:p>
        </w:tc>
      </w:tr>
      <w:tr>
        <w:trPr>
          <w:trHeight w:val="243"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1659" w:hRule="atLeast"/>
        </w:trPr>
        <w:tc>
          <w:tcPr>
            <w:tcW w:w="7118" w:type="dxa"/>
            <w:tcBorders/>
          </w:tcPr>
          <w:p>
            <w:pPr>
              <w:pStyle w:val="Normal"/>
              <w:tabs>
                <w:tab w:val="clear" w:pos="720"/>
                <w:tab w:val="left" w:pos="360" w:leader="none"/>
              </w:tabs>
              <w:ind w:hanging="360" w:start="360" w:end="0"/>
              <w:rPr>
                <w:lang w:eastAsia="en-US"/>
              </w:rPr>
            </w:pPr>
            <w:r>
              <w:rPr>
                <w:lang w:eastAsia="en-US"/>
              </w:rPr>
              <w:t>5.</w:t>
              <w:tab/>
              <w:t>Declaratoria de Adecuación Ambiental del Manifiesto Ambiental Sistema IV correspondiente a las Estaciones de compresión Caigua, San Antonio; estaciones de medición Carrasco, Colpa, Yacuiba, Tarija, gasoductos Caranda-Colpa, Colpa-Mineros, Colpa-Yacuiba, Río Grande -Santa Cruz, Carrasco-Colpa, Villamontes-Tarija, Tarija-El Puente, Tarija-ENDE, Bermejo-Ramos, gasoductos laterales Naranjillo, Campo Santa Cruz, El Palmar, La Peña, Porvenir, San Roque, La Vertiente, Vuelta Grande, Katari.</w:t>
            </w:r>
          </w:p>
        </w:tc>
        <w:tc>
          <w:tcPr>
            <w:tcW w:w="2362" w:type="dxa"/>
            <w:tcBorders/>
          </w:tcPr>
          <w:p>
            <w:pPr>
              <w:pStyle w:val="Normal"/>
              <w:tabs>
                <w:tab w:val="clear" w:pos="720"/>
                <w:tab w:val="left" w:pos="352" w:leader="none"/>
              </w:tabs>
              <w:jc w:val="start"/>
              <w:rPr>
                <w:lang w:eastAsia="en-US"/>
              </w:rPr>
            </w:pPr>
            <w:r>
              <w:rPr>
                <w:lang w:eastAsia="en-US"/>
              </w:rPr>
              <w:tab/>
              <w:t>November 9, 1999</w:t>
            </w:r>
          </w:p>
        </w:tc>
      </w:tr>
      <w:tr>
        <w:trPr>
          <w:trHeight w:val="207"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619" w:hRule="atLeast"/>
        </w:trPr>
        <w:tc>
          <w:tcPr>
            <w:tcW w:w="7118" w:type="dxa"/>
            <w:tcBorders/>
          </w:tcPr>
          <w:p>
            <w:pPr>
              <w:pStyle w:val="Normal"/>
              <w:tabs>
                <w:tab w:val="clear" w:pos="720"/>
                <w:tab w:val="left" w:pos="360" w:leader="none"/>
              </w:tabs>
              <w:ind w:hanging="360" w:start="360" w:end="0"/>
              <w:rPr>
                <w:lang w:eastAsia="en-US"/>
              </w:rPr>
            </w:pPr>
            <w:r>
              <w:rPr>
                <w:lang w:eastAsia="en-US"/>
              </w:rPr>
              <w:t>6.</w:t>
              <w:tab/>
              <w:t>Declaratoria de Adecuación Ambiental del Manifiesto Ambiental Sistema V correspondiente a las Estaciones de compresión Parotani, Oruro y Senkata.</w:t>
            </w:r>
          </w:p>
        </w:tc>
        <w:tc>
          <w:tcPr>
            <w:tcW w:w="2362" w:type="dxa"/>
            <w:tcBorders/>
          </w:tcPr>
          <w:p>
            <w:pPr>
              <w:pStyle w:val="Normal"/>
              <w:tabs>
                <w:tab w:val="clear" w:pos="720"/>
                <w:tab w:val="left" w:pos="352" w:leader="none"/>
              </w:tabs>
              <w:jc w:val="start"/>
              <w:rPr>
                <w:lang w:eastAsia="en-US"/>
              </w:rPr>
            </w:pPr>
            <w:r>
              <w:rPr>
                <w:lang w:eastAsia="en-US"/>
              </w:rPr>
              <w:tab/>
              <w:t>November 24, 1999</w:t>
            </w:r>
          </w:p>
        </w:tc>
      </w:tr>
      <w:tr>
        <w:trPr>
          <w:trHeight w:val="270"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1341" w:hRule="atLeast"/>
        </w:trPr>
        <w:tc>
          <w:tcPr>
            <w:tcW w:w="7118" w:type="dxa"/>
            <w:tcBorders/>
          </w:tcPr>
          <w:p>
            <w:pPr>
              <w:pStyle w:val="Normal"/>
              <w:tabs>
                <w:tab w:val="clear" w:pos="720"/>
                <w:tab w:val="left" w:pos="360" w:leader="none"/>
              </w:tabs>
              <w:ind w:hanging="360" w:start="360" w:end="0"/>
              <w:rPr>
                <w:lang w:eastAsia="en-US"/>
              </w:rPr>
            </w:pPr>
            <w:r>
              <w:rPr>
                <w:lang w:eastAsia="en-US"/>
              </w:rPr>
              <w:t>7.</w:t>
              <w:tab/>
              <w:t>Declaratoria de Adecuación Ambiental del Manifiesto Ambiental Sistema VI correspondiente a los gasoductos Taquiperenda-Tarabuco, Tarabuco-Huayñacota, Sucre-Potosi, Cerrillos-Monteagudo, Tarabuco-Qhora-Qhora, Qhora Qhora-Sucre, Cerrillos. Estaciones de Compresión Cerrillos, Torrepampa, Tapirani, Qhora Qhora, Sucre.</w:t>
            </w:r>
          </w:p>
        </w:tc>
        <w:tc>
          <w:tcPr>
            <w:tcW w:w="2362" w:type="dxa"/>
            <w:tcBorders/>
          </w:tcPr>
          <w:p>
            <w:pPr>
              <w:pStyle w:val="Normal"/>
              <w:tabs>
                <w:tab w:val="clear" w:pos="720"/>
                <w:tab w:val="left" w:pos="352" w:leader="none"/>
              </w:tabs>
              <w:jc w:val="start"/>
              <w:rPr>
                <w:lang w:eastAsia="en-US"/>
              </w:rPr>
            </w:pPr>
            <w:r>
              <w:rPr>
                <w:lang w:eastAsia="en-US"/>
              </w:rPr>
              <w:tab/>
              <w:t>January 17, 2000</w:t>
            </w:r>
          </w:p>
        </w:tc>
      </w:tr>
      <w:tr>
        <w:trPr>
          <w:trHeight w:val="243"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517" w:hRule="atLeast"/>
        </w:trPr>
        <w:tc>
          <w:tcPr>
            <w:tcW w:w="7118" w:type="dxa"/>
            <w:tcBorders/>
          </w:tcPr>
          <w:p>
            <w:pPr>
              <w:pStyle w:val="Normal"/>
              <w:tabs>
                <w:tab w:val="clear" w:pos="720"/>
                <w:tab w:val="left" w:pos="360" w:leader="none"/>
              </w:tabs>
              <w:ind w:hanging="360" w:start="360" w:end="0"/>
              <w:rPr>
                <w:lang w:eastAsia="en-US"/>
              </w:rPr>
            </w:pPr>
            <w:r>
              <w:rPr>
                <w:lang w:eastAsia="en-US"/>
              </w:rPr>
              <w:t>8.</w:t>
              <w:tab/>
              <w:t>Declaratoria de Adecuación Ambiental del Manifiesto Ambiental Sistema VII correspondiente a los Gasoducto Oconi y Santa Cruz-Huayñacota.</w:t>
            </w:r>
          </w:p>
        </w:tc>
        <w:tc>
          <w:tcPr>
            <w:tcW w:w="2362" w:type="dxa"/>
            <w:tcBorders/>
          </w:tcPr>
          <w:p>
            <w:pPr>
              <w:pStyle w:val="Normal"/>
              <w:tabs>
                <w:tab w:val="clear" w:pos="720"/>
                <w:tab w:val="left" w:pos="352" w:leader="none"/>
              </w:tabs>
              <w:jc w:val="start"/>
              <w:rPr>
                <w:lang w:eastAsia="en-US"/>
              </w:rPr>
            </w:pPr>
            <w:r>
              <w:rPr>
                <w:lang w:eastAsia="en-US"/>
              </w:rPr>
              <w:tab/>
              <w:t>January 7, 2000</w:t>
            </w:r>
          </w:p>
        </w:tc>
      </w:tr>
      <w:tr>
        <w:trPr>
          <w:trHeight w:val="216"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445" w:hRule="atLeast"/>
        </w:trPr>
        <w:tc>
          <w:tcPr>
            <w:tcW w:w="7118" w:type="dxa"/>
            <w:tcBorders/>
          </w:tcPr>
          <w:p>
            <w:pPr>
              <w:pStyle w:val="Normal"/>
              <w:tabs>
                <w:tab w:val="clear" w:pos="720"/>
                <w:tab w:val="left" w:pos="360" w:leader="none"/>
              </w:tabs>
              <w:ind w:hanging="360" w:start="360" w:end="0"/>
              <w:rPr>
                <w:lang w:eastAsia="en-US"/>
              </w:rPr>
            </w:pPr>
            <w:r>
              <w:rPr>
                <w:lang w:eastAsia="en-US"/>
              </w:rPr>
              <w:t>9.</w:t>
              <w:tab/>
              <w:t>Estudio Ambiental Cruce Definitivo Gasoducto Colpa-Yacuiba por el río Pilcomayo.</w:t>
            </w:r>
          </w:p>
        </w:tc>
        <w:tc>
          <w:tcPr>
            <w:tcW w:w="2362" w:type="dxa"/>
            <w:tcBorders/>
          </w:tcPr>
          <w:p>
            <w:pPr>
              <w:pStyle w:val="Normal"/>
              <w:tabs>
                <w:tab w:val="clear" w:pos="720"/>
                <w:tab w:val="left" w:pos="352" w:leader="none"/>
              </w:tabs>
              <w:jc w:val="start"/>
              <w:rPr>
                <w:lang w:eastAsia="en-US"/>
              </w:rPr>
            </w:pPr>
            <w:r>
              <w:rPr>
                <w:lang w:eastAsia="en-US"/>
              </w:rPr>
              <w:tab/>
              <w:t>August 10, 19990</w:t>
            </w:r>
          </w:p>
        </w:tc>
      </w:tr>
      <w:tr>
        <w:trPr>
          <w:trHeight w:val="198"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432" w:hRule="atLeast"/>
        </w:trPr>
        <w:tc>
          <w:tcPr>
            <w:tcW w:w="7118" w:type="dxa"/>
            <w:tcBorders/>
          </w:tcPr>
          <w:p>
            <w:pPr>
              <w:pStyle w:val="Normal"/>
              <w:tabs>
                <w:tab w:val="clear" w:pos="720"/>
                <w:tab w:val="left" w:pos="360" w:leader="none"/>
              </w:tabs>
              <w:ind w:hanging="360" w:start="360" w:end="0"/>
              <w:rPr>
                <w:lang w:eastAsia="en-US"/>
              </w:rPr>
            </w:pPr>
            <w:r>
              <w:rPr>
                <w:lang w:eastAsia="en-US"/>
              </w:rPr>
              <w:t>10.</w:t>
              <w:tab/>
              <w:t>Estudio Ambiental Proyecto Expansión del Gasoducto al Altiplano Tramo Parotani.</w:t>
            </w:r>
          </w:p>
        </w:tc>
        <w:tc>
          <w:tcPr>
            <w:tcW w:w="2362" w:type="dxa"/>
            <w:tcBorders/>
          </w:tcPr>
          <w:p>
            <w:pPr>
              <w:pStyle w:val="Normal"/>
              <w:tabs>
                <w:tab w:val="clear" w:pos="720"/>
                <w:tab w:val="left" w:pos="352" w:leader="none"/>
              </w:tabs>
              <w:jc w:val="start"/>
              <w:rPr>
                <w:lang w:eastAsia="en-US"/>
              </w:rPr>
            </w:pPr>
            <w:r>
              <w:rPr>
                <w:lang w:eastAsia="en-US"/>
              </w:rPr>
              <w:tab/>
              <w:t>April 28, 1999</w:t>
            </w:r>
          </w:p>
        </w:tc>
      </w:tr>
      <w:tr>
        <w:trPr>
          <w:trHeight w:val="180"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403" w:hRule="atLeast"/>
        </w:trPr>
        <w:tc>
          <w:tcPr>
            <w:tcW w:w="7118" w:type="dxa"/>
            <w:tcBorders/>
          </w:tcPr>
          <w:p>
            <w:pPr>
              <w:pStyle w:val="Normal"/>
              <w:tabs>
                <w:tab w:val="clear" w:pos="720"/>
                <w:tab w:val="left" w:pos="360" w:leader="none"/>
              </w:tabs>
              <w:ind w:hanging="360" w:start="360" w:end="0"/>
              <w:rPr>
                <w:lang w:eastAsia="en-US"/>
              </w:rPr>
            </w:pPr>
            <w:r>
              <w:rPr>
                <w:lang w:eastAsia="en-US"/>
              </w:rPr>
              <w:t>11.</w:t>
              <w:tab/>
              <w:t>Estudio Ambiental Proyecto Construcción Estación de Compresión Yapacani.</w:t>
            </w:r>
          </w:p>
        </w:tc>
        <w:tc>
          <w:tcPr>
            <w:tcW w:w="2362" w:type="dxa"/>
            <w:tcBorders/>
          </w:tcPr>
          <w:p>
            <w:pPr>
              <w:pStyle w:val="Normal"/>
              <w:tabs>
                <w:tab w:val="clear" w:pos="720"/>
                <w:tab w:val="left" w:pos="352" w:leader="none"/>
              </w:tabs>
              <w:jc w:val="start"/>
              <w:rPr>
                <w:lang w:eastAsia="en-US"/>
              </w:rPr>
            </w:pPr>
            <w:r>
              <w:rPr>
                <w:lang w:eastAsia="en-US"/>
              </w:rPr>
              <w:tab/>
              <w:t>August 19, 1999</w:t>
            </w:r>
          </w:p>
        </w:tc>
      </w:tr>
      <w:tr>
        <w:trPr>
          <w:trHeight w:val="261"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664" w:hRule="atLeast"/>
        </w:trPr>
        <w:tc>
          <w:tcPr>
            <w:tcW w:w="7118" w:type="dxa"/>
            <w:tcBorders/>
          </w:tcPr>
          <w:p>
            <w:pPr>
              <w:pStyle w:val="Normal"/>
              <w:tabs>
                <w:tab w:val="clear" w:pos="720"/>
                <w:tab w:val="left" w:pos="360" w:leader="none"/>
              </w:tabs>
              <w:ind w:hanging="360" w:start="360" w:end="0"/>
              <w:rPr>
                <w:lang w:eastAsia="en-US"/>
              </w:rPr>
            </w:pPr>
            <w:r>
              <w:rPr>
                <w:lang w:eastAsia="en-US"/>
              </w:rPr>
              <w:t>12.</w:t>
              <w:tab/>
              <w:t>Estudio Ambiental Construcción Propanoducto  desde Planta Paloma hasta Planta Carrasco.</w:t>
            </w:r>
          </w:p>
        </w:tc>
        <w:tc>
          <w:tcPr>
            <w:tcW w:w="2362" w:type="dxa"/>
            <w:tcBorders/>
          </w:tcPr>
          <w:p>
            <w:pPr>
              <w:pStyle w:val="Normal"/>
              <w:tabs>
                <w:tab w:val="clear" w:pos="720"/>
                <w:tab w:val="left" w:pos="352" w:leader="none"/>
              </w:tabs>
              <w:jc w:val="start"/>
              <w:rPr>
                <w:lang w:eastAsia="en-US"/>
              </w:rPr>
            </w:pPr>
            <w:r>
              <w:rPr>
                <w:lang w:eastAsia="en-US"/>
              </w:rPr>
              <w:tab/>
              <w:t>June 21, 1999</w:t>
            </w:r>
          </w:p>
        </w:tc>
      </w:tr>
      <w:tr>
        <w:trPr>
          <w:trHeight w:val="216"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13.</w:t>
              <w:tab/>
              <w:t>MM-PASA Construcción Oleoducto Refinería Palamasola -La Guardia.</w:t>
            </w:r>
          </w:p>
        </w:tc>
        <w:tc>
          <w:tcPr>
            <w:tcW w:w="2362" w:type="dxa"/>
            <w:tcBorders/>
          </w:tcPr>
          <w:p>
            <w:pPr>
              <w:pStyle w:val="Normal"/>
              <w:tabs>
                <w:tab w:val="clear" w:pos="720"/>
                <w:tab w:val="left" w:pos="352" w:leader="none"/>
              </w:tabs>
              <w:jc w:val="start"/>
              <w:rPr>
                <w:lang w:eastAsia="en-US"/>
              </w:rPr>
            </w:pPr>
            <w:r>
              <w:rPr>
                <w:lang w:eastAsia="en-US"/>
              </w:rPr>
              <w:tab/>
              <w:t>December 15, 1997</w:t>
            </w:r>
          </w:p>
        </w:tc>
      </w:tr>
      <w:tr>
        <w:trPr>
          <w:trHeight w:val="234"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14.</w:t>
              <w:tab/>
              <w:t>MM-PASA Construcción Oleoducto Refinería Palamasola -La Guardia.</w:t>
            </w:r>
          </w:p>
        </w:tc>
        <w:tc>
          <w:tcPr>
            <w:tcW w:w="2362" w:type="dxa"/>
            <w:tcBorders/>
          </w:tcPr>
          <w:p>
            <w:pPr>
              <w:pStyle w:val="Normal"/>
              <w:tabs>
                <w:tab w:val="clear" w:pos="720"/>
                <w:tab w:val="left" w:pos="352" w:leader="none"/>
              </w:tabs>
              <w:jc w:val="start"/>
              <w:rPr>
                <w:lang w:eastAsia="en-US"/>
              </w:rPr>
            </w:pPr>
            <w:r>
              <w:rPr>
                <w:lang w:eastAsia="en-US"/>
              </w:rPr>
              <w:tab/>
              <w:t>December 18, 1997</w:t>
            </w:r>
          </w:p>
        </w:tc>
      </w:tr>
      <w:tr>
        <w:trPr>
          <w:trHeight w:val="261"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15.</w:t>
              <w:tab/>
              <w:t>MM-PASA Traslado y Construcción Estación 1 y Habilitación ducto.</w:t>
            </w:r>
          </w:p>
        </w:tc>
        <w:tc>
          <w:tcPr>
            <w:tcW w:w="2362" w:type="dxa"/>
            <w:tcBorders/>
          </w:tcPr>
          <w:p>
            <w:pPr>
              <w:pStyle w:val="Normal"/>
              <w:tabs>
                <w:tab w:val="clear" w:pos="720"/>
                <w:tab w:val="left" w:pos="352" w:leader="none"/>
              </w:tabs>
              <w:jc w:val="start"/>
              <w:rPr>
                <w:lang w:eastAsia="en-US"/>
              </w:rPr>
            </w:pPr>
            <w:r>
              <w:rPr>
                <w:lang w:eastAsia="en-US"/>
              </w:rPr>
              <w:tab/>
              <w:t>June 23, 1999</w:t>
            </w:r>
          </w:p>
        </w:tc>
      </w:tr>
      <w:tr>
        <w:trPr>
          <w:trHeight w:val="207"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16.</w:t>
              <w:tab/>
              <w:t>MM-PASA Suministro de GLP hasta la planta engarrafadora Flamagas S.A.</w:t>
            </w:r>
          </w:p>
        </w:tc>
        <w:tc>
          <w:tcPr>
            <w:tcW w:w="2362" w:type="dxa"/>
            <w:tcBorders/>
          </w:tcPr>
          <w:p>
            <w:pPr>
              <w:pStyle w:val="Normal"/>
              <w:tabs>
                <w:tab w:val="clear" w:pos="720"/>
                <w:tab w:val="left" w:pos="352" w:leader="none"/>
              </w:tabs>
              <w:jc w:val="start"/>
              <w:rPr>
                <w:lang w:eastAsia="en-US"/>
              </w:rPr>
            </w:pPr>
            <w:r>
              <w:rPr>
                <w:lang w:eastAsia="en-US"/>
              </w:rPr>
              <w:tab/>
              <w:t>July 30, 1999</w:t>
            </w:r>
          </w:p>
        </w:tc>
      </w:tr>
      <w:tr>
        <w:trPr>
          <w:trHeight w:val="279"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17.</w:t>
              <w:tab/>
              <w:t>MM-PASA Ampliación ramal Hauyñacota -Valle Hermoso.</w:t>
            </w:r>
          </w:p>
        </w:tc>
        <w:tc>
          <w:tcPr>
            <w:tcW w:w="2362" w:type="dxa"/>
            <w:tcBorders/>
          </w:tcPr>
          <w:p>
            <w:pPr>
              <w:pStyle w:val="Normal"/>
              <w:tabs>
                <w:tab w:val="clear" w:pos="720"/>
                <w:tab w:val="left" w:pos="352" w:leader="none"/>
              </w:tabs>
              <w:jc w:val="start"/>
              <w:rPr>
                <w:lang w:eastAsia="en-US"/>
              </w:rPr>
            </w:pPr>
            <w:r>
              <w:rPr>
                <w:lang w:eastAsia="en-US"/>
              </w:rPr>
              <w:tab/>
              <w:t>July 30, 1999</w:t>
            </w:r>
          </w:p>
        </w:tc>
      </w:tr>
      <w:tr>
        <w:trPr>
          <w:trHeight w:val="207"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18.</w:t>
              <w:tab/>
              <w:t>MM-PASA Traslado Estación Tiguipa.</w:t>
            </w:r>
          </w:p>
        </w:tc>
        <w:tc>
          <w:tcPr>
            <w:tcW w:w="2362" w:type="dxa"/>
            <w:tcBorders/>
          </w:tcPr>
          <w:p>
            <w:pPr>
              <w:pStyle w:val="Normal"/>
              <w:tabs>
                <w:tab w:val="clear" w:pos="720"/>
                <w:tab w:val="left" w:pos="352" w:leader="none"/>
              </w:tabs>
              <w:jc w:val="start"/>
              <w:rPr>
                <w:lang w:eastAsia="en-US"/>
              </w:rPr>
            </w:pPr>
            <w:r>
              <w:rPr>
                <w:lang w:eastAsia="en-US"/>
              </w:rPr>
              <w:tab/>
              <w:t>October 18, 1999</w:t>
            </w:r>
          </w:p>
        </w:tc>
      </w:tr>
      <w:tr>
        <w:trPr>
          <w:trHeight w:val="234"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19.</w:t>
              <w:tab/>
              <w:t>MM-PASA Construcción Estación de Compresión Saipuru.</w:t>
            </w:r>
          </w:p>
        </w:tc>
        <w:tc>
          <w:tcPr>
            <w:tcW w:w="2362" w:type="dxa"/>
            <w:tcBorders/>
          </w:tcPr>
          <w:p>
            <w:pPr>
              <w:pStyle w:val="Normal"/>
              <w:tabs>
                <w:tab w:val="clear" w:pos="720"/>
                <w:tab w:val="left" w:pos="352" w:leader="none"/>
              </w:tabs>
              <w:jc w:val="start"/>
              <w:rPr>
                <w:lang w:eastAsia="en-US"/>
              </w:rPr>
            </w:pPr>
            <w:r>
              <w:rPr>
                <w:lang w:eastAsia="en-US"/>
              </w:rPr>
              <w:tab/>
              <w:t>August 19, 1999</w:t>
            </w:r>
          </w:p>
        </w:tc>
      </w:tr>
      <w:tr>
        <w:trPr>
          <w:trHeight w:val="252"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20.</w:t>
              <w:tab/>
              <w:t>MM-PASA Construcción Oleoducto Frontera Argentina Terminal Pocitos.</w:t>
            </w:r>
          </w:p>
        </w:tc>
        <w:tc>
          <w:tcPr>
            <w:tcW w:w="2362" w:type="dxa"/>
            <w:tcBorders/>
          </w:tcPr>
          <w:p>
            <w:pPr>
              <w:pStyle w:val="Normal"/>
              <w:tabs>
                <w:tab w:val="clear" w:pos="720"/>
                <w:tab w:val="left" w:pos="352" w:leader="none"/>
              </w:tabs>
              <w:jc w:val="start"/>
              <w:rPr>
                <w:lang w:eastAsia="en-US"/>
              </w:rPr>
            </w:pPr>
            <w:r>
              <w:rPr>
                <w:lang w:eastAsia="en-US"/>
              </w:rPr>
              <w:tab/>
              <w:t>March 31, 1999</w:t>
            </w:r>
          </w:p>
        </w:tc>
      </w:tr>
      <w:tr>
        <w:trPr>
          <w:trHeight w:val="243" w:hRule="atLeast"/>
        </w:trPr>
        <w:tc>
          <w:tcPr>
            <w:tcW w:w="7118" w:type="dxa"/>
            <w:tcBorders/>
          </w:tcPr>
          <w:p>
            <w:pPr>
              <w:pStyle w:val="Normal"/>
              <w:tabs>
                <w:tab w:val="clear" w:pos="720"/>
                <w:tab w:val="left" w:pos="360" w:leader="none"/>
              </w:tabs>
              <w:snapToGrid w:val="false"/>
              <w:ind w:hanging="360" w:start="360" w:end="0"/>
              <w:rPr>
                <w:lang w:eastAsia="en-US"/>
              </w:rPr>
            </w:pPr>
            <w:r>
              <w:rPr>
                <w:lang w:eastAsia="en-US"/>
              </w:rPr>
            </w:r>
          </w:p>
        </w:tc>
        <w:tc>
          <w:tcPr>
            <w:tcW w:w="2362" w:type="dxa"/>
            <w:tcBorders/>
          </w:tcPr>
          <w:p>
            <w:pPr>
              <w:pStyle w:val="Normal"/>
              <w:snapToGrid w:val="false"/>
              <w:jc w:val="start"/>
              <w:rPr>
                <w:lang w:eastAsia="en-US"/>
              </w:rPr>
            </w:pPr>
            <w:r>
              <w:rPr>
                <w:lang w:eastAsia="en-US"/>
              </w:rPr>
            </w:r>
          </w:p>
        </w:tc>
      </w:tr>
      <w:tr>
        <w:trPr>
          <w:trHeight w:val="328" w:hRule="atLeast"/>
        </w:trPr>
        <w:tc>
          <w:tcPr>
            <w:tcW w:w="7118" w:type="dxa"/>
            <w:tcBorders/>
          </w:tcPr>
          <w:p>
            <w:pPr>
              <w:pStyle w:val="Normal"/>
              <w:tabs>
                <w:tab w:val="clear" w:pos="720"/>
                <w:tab w:val="left" w:pos="360" w:leader="none"/>
              </w:tabs>
              <w:ind w:hanging="360" w:start="360" w:end="0"/>
              <w:rPr>
                <w:lang w:eastAsia="en-US"/>
              </w:rPr>
            </w:pPr>
            <w:r>
              <w:rPr>
                <w:lang w:eastAsia="en-US"/>
              </w:rPr>
              <w:t>21.</w:t>
              <w:tab/>
              <w:t>MM-PASA Construcción Variantes Lineas OSSA I y GAA Sector La Guitarra.</w:t>
            </w:r>
          </w:p>
        </w:tc>
        <w:tc>
          <w:tcPr>
            <w:tcW w:w="2362" w:type="dxa"/>
            <w:tcBorders/>
          </w:tcPr>
          <w:p>
            <w:pPr>
              <w:pStyle w:val="Normal"/>
              <w:tabs>
                <w:tab w:val="clear" w:pos="720"/>
                <w:tab w:val="left" w:pos="352" w:leader="none"/>
              </w:tabs>
              <w:jc w:val="start"/>
              <w:rPr>
                <w:lang w:eastAsia="en-US"/>
              </w:rPr>
            </w:pPr>
            <w:r>
              <w:rPr>
                <w:lang w:eastAsia="en-US"/>
              </w:rPr>
              <w:tab/>
              <w:t>August 31, 1998</w:t>
            </w:r>
          </w:p>
        </w:tc>
      </w:tr>
    </w:tbl>
    <w:p>
      <w:pPr>
        <w:pStyle w:val="Normal"/>
        <w:rPr/>
      </w:pPr>
      <w:r>
        <w:rPr/>
      </w:r>
    </w:p>
    <w:p>
      <w:pPr>
        <w:pStyle w:val="Normal"/>
        <w:rPr/>
      </w:pPr>
      <w:r>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5.15 of the Agreement relating to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 xml:space="preserve">Claim of environmental damage against Transredes and Steve Hopper relating to Station #1 and a spill of approximately 5 gallons of diesel in an oxidation pond.  </w:t>
      </w:r>
      <w:r>
        <w:rPr>
          <w:b/>
        </w:rPr>
        <w:t>[Company to supply (1) specific parties to case, (2) the court, (3) the case number and (4) the nature of liability exposure.]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Transredes anticipates insurance litigation with respect to the Desaguadero River Spill.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5.14(a)</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MATERIAL ADVERSE CHANGES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qualifications of the representation and warranty contained in Section 5.14(a) of the Agreement relating to Material Adverse Changes:</w:t>
      </w:r>
    </w:p>
    <w:p>
      <w:pPr>
        <w:pStyle w:val="Normal"/>
        <w:rPr>
          <w:u w:val="single"/>
          <w:lang w:eastAsia="en-US"/>
        </w:rPr>
      </w:pPr>
      <w:r>
        <w:rPr>
          <w:u w:val="single"/>
          <w:lang w:eastAsia="en-US"/>
        </w:rPr>
      </w:r>
    </w:p>
    <w:p>
      <w:pPr>
        <w:pStyle w:val="Normal"/>
        <w:ind w:hanging="720" w:start="720" w:end="0"/>
        <w:rPr>
          <w:lang w:eastAsia="en-US"/>
        </w:rPr>
      </w:pPr>
      <w:r>
        <w:rPr>
          <w:lang w:eastAsia="en-US"/>
        </w:rPr>
        <w:t>1.</w:t>
        <w:tab/>
        <w:t>Cash flow issue carries the risk that the company might go into default. There is a cash flow issue for the following three reasons:</w:t>
      </w:r>
    </w:p>
    <w:p>
      <w:pPr>
        <w:pStyle w:val="Normal"/>
        <w:rPr>
          <w:lang w:eastAsia="en-US"/>
        </w:rPr>
      </w:pPr>
      <w:r>
        <w:rPr>
          <w:lang w:eastAsia="en-US"/>
        </w:rPr>
      </w:r>
    </w:p>
    <w:p>
      <w:pPr>
        <w:pStyle w:val="Normal"/>
        <w:tabs>
          <w:tab w:val="left" w:pos="720" w:leader="none"/>
        </w:tabs>
        <w:ind w:hanging="720" w:start="1440" w:end="0"/>
        <w:rPr>
          <w:b/>
          <w:lang w:eastAsia="en-US"/>
        </w:rPr>
      </w:pPr>
      <w:r>
        <w:rPr>
          <w:lang w:eastAsia="en-US"/>
        </w:rPr>
        <w:t>a.</w:t>
        <w:tab/>
        <w:t>lower revenues than budgeted because of delays in market development in Brazil combined with the need for continued upgrades to the pipeline system and delays with the Cuiabá project development;</w:t>
      </w:r>
    </w:p>
    <w:p>
      <w:pPr>
        <w:pStyle w:val="Normal"/>
        <w:ind w:hanging="720" w:start="1440" w:end="0"/>
        <w:rPr>
          <w:lang w:eastAsia="en-US"/>
        </w:rPr>
      </w:pPr>
      <w:r>
        <w:rPr>
          <w:lang w:eastAsia="en-US"/>
        </w:rPr>
        <w:t>b.</w:t>
        <w:tab/>
        <w:t>the Rio Desaguadero oil spill; and</w:t>
      </w:r>
    </w:p>
    <w:p>
      <w:pPr>
        <w:pStyle w:val="Normal"/>
        <w:ind w:start="720" w:end="0"/>
        <w:rPr>
          <w:lang w:eastAsia="en-US"/>
        </w:rPr>
      </w:pPr>
      <w:r>
        <w:rPr>
          <w:lang w:eastAsia="en-US"/>
        </w:rPr>
        <w:t>c.</w:t>
        <w:tab/>
        <w:t>non-funding of Cuiabá project.</w:t>
      </w:r>
    </w:p>
    <w:p>
      <w:pPr>
        <w:pStyle w:val="Normal"/>
        <w:tabs>
          <w:tab w:val="left" w:pos="720" w:leader="none"/>
        </w:tabs>
        <w:ind w:hanging="1440" w:start="1440" w:end="0"/>
        <w:rPr>
          <w:lang w:eastAsia="en-US"/>
        </w:rPr>
      </w:pPr>
      <w:r>
        <w:rPr>
          <w:lang w:eastAsia="en-US"/>
        </w:rPr>
        <w:tab/>
      </w:r>
    </w:p>
    <w:p>
      <w:pPr>
        <w:pStyle w:val="Normal"/>
        <w:ind w:hanging="720" w:start="720" w:end="0"/>
        <w:rPr/>
      </w:pPr>
      <w:r>
        <w:rPr>
          <w:lang w:eastAsia="en-US"/>
        </w:rPr>
        <w:t>2.</w:t>
        <w:tab/>
        <w:t xml:space="preserve">In connection with the Deferred Account, Resolutions 4/11/99 and 4/12/99 were issued on December 23 and 24, </w:t>
      </w:r>
      <w:r>
        <w:rPr>
          <w:b/>
          <w:lang w:eastAsia="en-US"/>
        </w:rPr>
        <w:t>[1999]</w:t>
      </w:r>
      <w:r>
        <w:rPr>
          <w:lang w:eastAsia="en-US"/>
        </w:rPr>
        <w:t>, respectively. Resolution 4/11/99, which amends the Deferred Account Principles, has been appealed to the General Superintendent and a resolution is expected by early August. Resolution 4/12/99, which approved the 1998 budget, is also under consideration by the General Superintendent, and a resolution is expected by late August.  Once both appeal processes are resolved, Transredes will be able to pursue judiciary proceedings before the Supreme Court or international arbitration by means of Bilateral Investment Treaties.</w:t>
      </w:r>
    </w:p>
    <w:p>
      <w:pPr>
        <w:pStyle w:val="Normal"/>
        <w:rPr>
          <w:color w:val="000000"/>
          <w:lang w:eastAsia="en-US"/>
        </w:rPr>
      </w:pPr>
      <w:r>
        <w:rPr>
          <w:color w:val="000000"/>
          <w:lang w:eastAsia="en-US"/>
        </w:rPr>
      </w:r>
    </w:p>
    <w:p>
      <w:pPr>
        <w:pStyle w:val="Normal"/>
        <w:ind w:hanging="720" w:start="720" w:end="0"/>
        <w:rPr>
          <w:lang w:eastAsia="en-US"/>
        </w:rPr>
      </w:pPr>
      <w:r>
        <w:rPr>
          <w:lang w:eastAsia="en-US"/>
        </w:rPr>
        <w:t>3.</w:t>
        <w:tab/>
        <w:t>Petrobras has proposed building a pipeline which would risk bypass volumes on the southern portion of the Transredes system.  Petrobras proposed building the pipeline in an effort to avoid the Deferred Account and domestic market component of the tariff.  However, Petrobras and the Bolivian government have now accepted the concept of surcharge tariffs for the Deferred Account and domestic market component.</w:t>
      </w:r>
    </w:p>
    <w:p>
      <w:pPr>
        <w:pStyle w:val="Normal"/>
        <w:ind w:hanging="720" w:start="720" w:end="0"/>
        <w:rPr>
          <w:lang w:eastAsia="en-US"/>
        </w:rPr>
      </w:pPr>
      <w:r>
        <w:rPr>
          <w:lang w:eastAsia="en-US"/>
        </w:rPr>
      </w:r>
      <w:r>
        <w:br w:type="page"/>
      </w:r>
    </w:p>
    <w:p>
      <w:pPr>
        <w:pStyle w:val="Normal"/>
        <w:ind w:hanging="720" w:start="720" w:end="0"/>
        <w:jc w:val="center"/>
        <w:rPr>
          <w:b/>
          <w:lang w:eastAsia="en-US"/>
        </w:rPr>
      </w:pPr>
      <w:r>
        <w:rPr>
          <w:b/>
          <w:lang w:eastAsia="en-US"/>
        </w:rPr>
        <w:t>SCHEDULE 7.01(a)(i)</w:t>
      </w:r>
    </w:p>
    <w:p>
      <w:pPr>
        <w:pStyle w:val="Normal"/>
        <w:ind w:hanging="720" w:start="720" w:end="0"/>
        <w:jc w:val="center"/>
        <w:rPr>
          <w:b/>
          <w:lang w:eastAsia="en-US"/>
        </w:rPr>
      </w:pPr>
      <w:r>
        <w:rPr>
          <w:b/>
          <w:lang w:eastAsia="en-US"/>
        </w:rPr>
      </w:r>
    </w:p>
    <w:p>
      <w:pPr>
        <w:pStyle w:val="Normal"/>
        <w:ind w:hanging="720" w:start="720" w:end="0"/>
        <w:jc w:val="center"/>
        <w:rPr>
          <w:b/>
          <w:lang w:eastAsia="en-US"/>
        </w:rPr>
      </w:pPr>
      <w:r>
        <w:rPr>
          <w:b/>
          <w:lang w:eastAsia="en-US"/>
        </w:rPr>
        <w:t>CHANGES IN OPERATIONS</w:t>
      </w:r>
    </w:p>
    <w:p>
      <w:pPr>
        <w:pStyle w:val="Normal"/>
        <w:ind w:hanging="720" w:start="720" w:end="0"/>
        <w:jc w:val="center"/>
        <w:rPr>
          <w:b/>
          <w:lang w:eastAsia="en-US"/>
        </w:rPr>
      </w:pPr>
      <w:r>
        <w:rPr>
          <w:b/>
          <w:lang w:eastAsia="en-US"/>
        </w:rPr>
      </w:r>
    </w:p>
    <w:p>
      <w:pPr>
        <w:pStyle w:val="Normal"/>
        <w:ind w:hanging="720" w:start="720" w:end="0"/>
        <w:rPr>
          <w:b/>
          <w:lang w:eastAsia="en-US"/>
        </w:rPr>
      </w:pPr>
      <w:r>
        <w:rPr>
          <w:b/>
          <w:lang w:eastAsia="en-US"/>
        </w:rPr>
      </w:r>
    </w:p>
    <w:p>
      <w:pPr>
        <w:pStyle w:val="Normal"/>
        <w:rPr>
          <w:lang w:eastAsia="en-US"/>
        </w:rPr>
      </w:pPr>
      <w:r>
        <w:rPr>
          <w:lang w:eastAsia="en-US"/>
        </w:rPr>
        <w:t>Transredes is currently planning the following reorganization initiatives which are not consistent with the usual and ordinary course of past practices:</w:t>
      </w:r>
    </w:p>
    <w:p>
      <w:pPr>
        <w:pStyle w:val="Normal"/>
        <w:ind w:hanging="720" w:start="720" w:end="0"/>
        <w:rPr>
          <w:lang w:eastAsia="en-US"/>
        </w:rPr>
      </w:pPr>
      <w:r>
        <w:rPr>
          <w:lang w:eastAsia="en-US"/>
        </w:rPr>
      </w:r>
    </w:p>
    <w:p>
      <w:pPr>
        <w:pStyle w:val="Normal"/>
        <w:ind w:hanging="720" w:start="720" w:end="0"/>
        <w:rPr>
          <w:lang w:eastAsia="en-US"/>
        </w:rPr>
      </w:pPr>
      <w:r>
        <w:rPr>
          <w:lang w:eastAsia="en-US"/>
        </w:rPr>
        <w:t>1.</w:t>
        <w:tab/>
        <w:t>Sale of Transredes' liquids system.</w:t>
      </w:r>
    </w:p>
    <w:p>
      <w:pPr>
        <w:pStyle w:val="Normal"/>
        <w:ind w:hanging="720" w:start="720" w:end="0"/>
        <w:rPr>
          <w:lang w:eastAsia="en-US"/>
        </w:rPr>
      </w:pPr>
      <w:r>
        <w:rPr>
          <w:lang w:eastAsia="en-US"/>
        </w:rPr>
      </w:r>
    </w:p>
    <w:p>
      <w:pPr>
        <w:pStyle w:val="Normal"/>
        <w:ind w:hanging="720" w:start="720" w:end="0"/>
        <w:rPr>
          <w:lang w:eastAsia="en-US"/>
        </w:rPr>
      </w:pPr>
      <w:r>
        <w:rPr>
          <w:lang w:eastAsia="en-US"/>
        </w:rPr>
        <w:t>2.</w:t>
        <w:tab/>
        <w:t>Sale of Transredes' ownership interests in GasBol, GasMat and EPE.</w:t>
      </w:r>
    </w:p>
    <w:p>
      <w:pPr>
        <w:pStyle w:val="Normal"/>
        <w:ind w:hanging="720" w:start="720" w:end="0"/>
        <w:rPr>
          <w:lang w:eastAsia="en-US"/>
        </w:rPr>
      </w:pPr>
      <w:r>
        <w:rPr>
          <w:lang w:eastAsia="en-US"/>
        </w:rPr>
      </w:r>
    </w:p>
    <w:p>
      <w:pPr>
        <w:pStyle w:val="Normal"/>
        <w:ind w:hanging="720" w:start="720" w:end="0"/>
        <w:rPr>
          <w:lang w:eastAsia="en-US"/>
        </w:rPr>
      </w:pPr>
      <w:r>
        <w:rPr>
          <w:lang w:eastAsia="en-US"/>
        </w:rPr>
        <w:t>3.</w:t>
        <w:tab/>
        <w:t>Entering into significant contractual arrangements to offer firm capacity transportation services.</w:t>
      </w:r>
    </w:p>
    <w:p>
      <w:pPr>
        <w:pStyle w:val="Normal"/>
        <w:ind w:hanging="720" w:start="720" w:end="0"/>
        <w:rPr>
          <w:lang w:eastAsia="en-US"/>
        </w:rPr>
      </w:pPr>
      <w:r>
        <w:rPr>
          <w:lang w:eastAsia="en-US"/>
        </w:rPr>
      </w:r>
    </w:p>
    <w:p>
      <w:pPr>
        <w:pStyle w:val="Normal"/>
        <w:ind w:hanging="720" w:start="720" w:end="0"/>
        <w:rPr>
          <w:lang w:eastAsia="en-US"/>
        </w:rPr>
      </w:pPr>
      <w:r>
        <w:rPr>
          <w:lang w:eastAsia="en-US"/>
        </w:rPr>
        <w:t>4.</w:t>
        <w:tab/>
        <w:t>Reorganizing the internal existing business structures of Transredes.</w:t>
      </w:r>
    </w:p>
    <w:p>
      <w:pPr>
        <w:pStyle w:val="Normal"/>
        <w:ind w:hanging="720" w:start="720" w:end="0"/>
        <w:rPr>
          <w:lang w:eastAsia="en-US"/>
        </w:rPr>
      </w:pPr>
      <w:r>
        <w:rPr>
          <w:lang w:eastAsia="en-US"/>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7.02(b)(ii)(B)</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OPERATION OF THE BUSINESSES</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SIGNIFICANT NEW BENEFIT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rPr>
          <w:u w:val="single"/>
        </w:rPr>
      </w:pPr>
      <w:r>
        <w:rPr>
          <w:u w:val="single"/>
        </w:rPr>
      </w:r>
    </w:p>
    <w:p>
      <w:pPr>
        <w:pStyle w:val="Normal"/>
        <w:ind w:hanging="720" w:start="720" w:end="0"/>
        <w:rPr/>
      </w:pPr>
      <w:r>
        <w:rPr>
          <w:color w:val="000000"/>
        </w:rPr>
        <w:t>1.</w:t>
        <w:tab/>
        <w:t xml:space="preserve">Transredes is currently undertaking a review of the benefit package for employees and contemplating implementing a phantom stock option plan.   If changes are recommended, they will not occur prior to December 31, 2000.  </w:t>
      </w:r>
      <w:r>
        <w:rPr>
          <w:b/>
          <w:color w:val="000000"/>
        </w:rPr>
        <w:t>[Discuss whether this item needs to be listed on this schedule.]</w:t>
      </w:r>
      <w:r>
        <w:rPr>
          <w:color w:val="000000"/>
        </w:rPr>
        <w:t xml:space="preserve"> </w:t>
      </w:r>
    </w:p>
    <w:p>
      <w:pPr>
        <w:pStyle w:val="Normal"/>
        <w:rPr>
          <w:color w:val="000000"/>
        </w:rPr>
      </w:pPr>
      <w:r>
        <w:rPr>
          <w:color w:val="000000"/>
        </w:rPr>
      </w:r>
      <w:r>
        <w:br w:type="page"/>
      </w:r>
    </w:p>
    <w:p>
      <w:pPr>
        <w:pStyle w:val="Normal"/>
        <w:jc w:val="center"/>
        <w:rPr>
          <w:b/>
          <w:color w:val="000000"/>
        </w:rPr>
      </w:pPr>
      <w:r>
        <w:rPr>
          <w:b/>
          <w:color w:val="000000"/>
        </w:rPr>
        <w:t>SCHEDULE 7.02(b)(iii)(b)</w:t>
      </w:r>
    </w:p>
    <w:p>
      <w:pPr>
        <w:pStyle w:val="Normal"/>
        <w:jc w:val="center"/>
        <w:rPr>
          <w:b/>
          <w:color w:val="000000"/>
        </w:rPr>
      </w:pPr>
      <w:r>
        <w:rPr>
          <w:b/>
          <w:color w:val="000000"/>
        </w:rPr>
      </w:r>
    </w:p>
    <w:p>
      <w:pPr>
        <w:pStyle w:val="Normal"/>
        <w:jc w:val="center"/>
        <w:rPr>
          <w:b/>
          <w:color w:val="000000"/>
        </w:rPr>
      </w:pPr>
      <w:r>
        <w:rPr>
          <w:b/>
          <w:color w:val="000000"/>
        </w:rPr>
        <w:t>REORGANIZATION</w:t>
      </w:r>
    </w:p>
    <w:p>
      <w:pPr>
        <w:pStyle w:val="Normal"/>
        <w:rPr>
          <w:b/>
          <w:color w:val="000000"/>
        </w:rPr>
      </w:pPr>
      <w:r>
        <w:rPr>
          <w:b/>
          <w:color w:val="000000"/>
        </w:rPr>
      </w:r>
    </w:p>
    <w:p>
      <w:pPr>
        <w:pStyle w:val="Normal"/>
        <w:ind w:hanging="720" w:start="720" w:end="0"/>
        <w:rPr>
          <w:b/>
          <w:color w:val="000000"/>
        </w:rPr>
      </w:pPr>
      <w:r>
        <w:rPr>
          <w:b/>
          <w:color w:val="000000"/>
        </w:rPr>
      </w:r>
    </w:p>
    <w:p>
      <w:pPr>
        <w:pStyle w:val="Normal"/>
        <w:ind w:hanging="720" w:start="720" w:end="0"/>
        <w:rPr>
          <w:color w:val="000000"/>
        </w:rPr>
      </w:pPr>
      <w:r>
        <w:rPr>
          <w:color w:val="000000"/>
        </w:rPr>
        <w:t>1.</w:t>
        <w:tab/>
        <w:t xml:space="preserve">Transredes is currently evaluating the potential of restructuring the liquids system (this includes the unbundling of  gas and liquids business with the review of potential sale of a portion of the  liquids assets to  a third party).  A decision is not likely to occur prior to December 31, 2000.  </w:t>
      </w:r>
      <w:r>
        <w:rPr>
          <w:b/>
          <w:color w:val="000000"/>
        </w:rPr>
        <w:t>[Discuss whether this item needs to be listed on this schedule.]</w:t>
      </w:r>
    </w:p>
    <w:p>
      <w:pPr>
        <w:pStyle w:val="Normal"/>
        <w:ind w:hanging="720" w:start="720" w:end="0"/>
        <w:rPr>
          <w:color w:val="000000"/>
        </w:rPr>
      </w:pPr>
      <w:r>
        <w:rPr>
          <w:color w:val="000000"/>
        </w:rPr>
      </w:r>
    </w:p>
    <w:p>
      <w:pPr>
        <w:pStyle w:val="Normal"/>
        <w:ind w:hanging="720" w:start="720" w:end="0"/>
        <w:rPr>
          <w:color w:val="000000"/>
        </w:rPr>
      </w:pPr>
      <w:r>
        <w:rPr>
          <w:color w:val="000000"/>
        </w:rPr>
        <w:t>2.</w:t>
        <w:tab/>
        <w:t xml:space="preserve">Transredes is currently evaluating the divestment of its interest in the Cuiaba pipeline and power project which would include the divestment of Transredes' interests in Gas Oriente Boliviano Ltd., Gas Ocidente do Mato Grosso Ltda and Empresa Produtora de Energia Ltda.  A decision to divest of investments likely to occur prior to December 31, 2000.  </w:t>
      </w:r>
      <w:r>
        <w:rPr>
          <w:b/>
          <w:color w:val="000000"/>
        </w:rPr>
        <w:t>[Discuss whether this item needs to be listed on this schedule.]</w:t>
      </w:r>
    </w:p>
    <w:p>
      <w:pPr>
        <w:pStyle w:val="Normal"/>
        <w:ind w:hanging="720" w:start="720" w:end="0"/>
        <w:rPr>
          <w:color w:val="000000"/>
        </w:rPr>
      </w:pPr>
      <w:r>
        <w:rPr>
          <w:color w:val="000000"/>
        </w:rPr>
      </w:r>
    </w:p>
    <w:p>
      <w:pPr>
        <w:pStyle w:val="Normal"/>
        <w:ind w:hanging="720" w:start="720" w:end="0"/>
        <w:rPr>
          <w:color w:val="000000"/>
        </w:rPr>
      </w:pPr>
      <w:r>
        <w:rPr>
          <w:color w:val="000000"/>
        </w:rPr>
      </w:r>
      <w:r>
        <w:br w:type="page"/>
      </w:r>
    </w:p>
    <w:p>
      <w:pPr>
        <w:pStyle w:val="Normal"/>
        <w:ind w:hanging="720" w:start="720" w:end="0"/>
        <w:jc w:val="center"/>
        <w:rPr>
          <w:b/>
          <w:color w:val="000000"/>
        </w:rPr>
      </w:pPr>
      <w:r>
        <w:rPr>
          <w:b/>
          <w:color w:val="000000"/>
        </w:rPr>
        <w:t>SCHEDULE 7.02(b)(iv)</w:t>
      </w:r>
    </w:p>
    <w:p>
      <w:pPr>
        <w:pStyle w:val="Normal"/>
        <w:ind w:hanging="720" w:start="720" w:end="0"/>
        <w:jc w:val="center"/>
        <w:rPr>
          <w:b/>
          <w:color w:val="000000"/>
        </w:rPr>
      </w:pPr>
      <w:r>
        <w:rPr>
          <w:b/>
          <w:color w:val="000000"/>
        </w:rPr>
      </w:r>
    </w:p>
    <w:p>
      <w:pPr>
        <w:pStyle w:val="Normal"/>
        <w:ind w:hanging="720" w:start="720" w:end="0"/>
        <w:jc w:val="center"/>
        <w:rPr>
          <w:b/>
          <w:color w:val="000000"/>
        </w:rPr>
      </w:pPr>
      <w:r>
        <w:rPr>
          <w:b/>
          <w:color w:val="000000"/>
        </w:rPr>
        <w:t>SALE OR ISSUANCE  OF CAPITAL STOCK</w:t>
      </w:r>
    </w:p>
    <w:p>
      <w:pPr>
        <w:pStyle w:val="Normal"/>
        <w:ind w:hanging="720" w:start="720" w:end="0"/>
        <w:rPr>
          <w:b/>
          <w:color w:val="000000"/>
        </w:rPr>
      </w:pPr>
      <w:r>
        <w:rPr>
          <w:b/>
          <w:color w:val="000000"/>
        </w:rPr>
      </w:r>
    </w:p>
    <w:p>
      <w:pPr>
        <w:pStyle w:val="Normal"/>
        <w:ind w:hanging="720" w:start="720" w:end="0"/>
        <w:rPr>
          <w:b/>
          <w:color w:val="000000"/>
        </w:rPr>
      </w:pPr>
      <w:r>
        <w:rPr>
          <w:b/>
          <w:color w:val="000000"/>
        </w:rPr>
      </w:r>
    </w:p>
    <w:p>
      <w:pPr>
        <w:pStyle w:val="Normal"/>
        <w:ind w:hanging="720" w:start="720" w:end="0"/>
        <w:rPr>
          <w:color w:val="000000"/>
        </w:rPr>
      </w:pPr>
      <w:r>
        <w:rPr>
          <w:color w:val="000000"/>
        </w:rPr>
        <w:t>1.</w:t>
        <w:tab/>
        <w:t xml:space="preserve">No actions are planned at present; however, a future decision to restructure and divest of the liquids system may require the offering, selling, issuing or granting of Equity Securities of a Transfer Company.  Decision likely not to occur prior to December 31, 2000.  </w:t>
      </w:r>
      <w:r>
        <w:rPr>
          <w:b/>
          <w:color w:val="000000"/>
        </w:rPr>
        <w:t>[Discuss whether such item should be included on this schedule.]</w:t>
      </w:r>
    </w:p>
    <w:p>
      <w:pPr>
        <w:pStyle w:val="Normal"/>
        <w:ind w:hanging="720" w:start="720" w:end="0"/>
        <w:rPr>
          <w:color w:val="000000"/>
        </w:rPr>
      </w:pPr>
      <w:r>
        <w:rPr>
          <w:color w:val="000000"/>
        </w:rPr>
      </w:r>
      <w:r>
        <w:br w:type="page"/>
      </w:r>
    </w:p>
    <w:p>
      <w:pPr>
        <w:pStyle w:val="Normal"/>
        <w:jc w:val="center"/>
        <w:rPr>
          <w:b/>
          <w:color w:val="000000"/>
        </w:rPr>
      </w:pPr>
      <w:r>
        <w:rPr>
          <w:b/>
          <w:color w:val="000000"/>
        </w:rPr>
        <w:t>SCHEDULE 7.02(b)(viii)</w:t>
      </w:r>
    </w:p>
    <w:p>
      <w:pPr>
        <w:pStyle w:val="Normal"/>
        <w:jc w:val="center"/>
        <w:rPr>
          <w:b/>
          <w:color w:val="000000"/>
        </w:rPr>
      </w:pPr>
      <w:r>
        <w:rPr>
          <w:b/>
          <w:color w:val="000000"/>
        </w:rPr>
      </w:r>
    </w:p>
    <w:p>
      <w:pPr>
        <w:pStyle w:val="Normal"/>
        <w:jc w:val="center"/>
        <w:rPr>
          <w:b/>
          <w:color w:val="000000"/>
        </w:rPr>
      </w:pPr>
      <w:r>
        <w:rPr>
          <w:b/>
          <w:color w:val="000000"/>
        </w:rPr>
        <w:t>SALE OR DISPOTISION OF ASSETS</w:t>
      </w:r>
    </w:p>
    <w:p>
      <w:pPr>
        <w:pStyle w:val="Normal"/>
        <w:rPr>
          <w:b/>
          <w:color w:val="000000"/>
        </w:rPr>
      </w:pPr>
      <w:r>
        <w:rPr>
          <w:b/>
          <w:color w:val="000000"/>
        </w:rPr>
      </w:r>
    </w:p>
    <w:p>
      <w:pPr>
        <w:pStyle w:val="Normal"/>
        <w:ind w:hanging="720" w:start="720" w:end="0"/>
        <w:rPr>
          <w:color w:val="000000"/>
        </w:rPr>
      </w:pPr>
      <w:r>
        <w:rPr>
          <w:color w:val="000000"/>
        </w:rPr>
        <w:t>1.</w:t>
        <w:tab/>
        <w:t xml:space="preserve">No actions are planned at present; however, Transredes may in the future decide to restructure and divest of all or part of its liquids system.  </w:t>
      </w:r>
      <w:r>
        <w:rPr>
          <w:b/>
          <w:color w:val="000000"/>
        </w:rPr>
        <w:t>[Discuss whether this item needs to be listed on this schedule.]</w:t>
      </w:r>
    </w:p>
    <w:p>
      <w:pPr>
        <w:pStyle w:val="Normal"/>
        <w:ind w:hanging="720" w:start="720" w:end="0"/>
        <w:rPr>
          <w:color w:val="000000"/>
        </w:rPr>
      </w:pPr>
      <w:r>
        <w:rPr>
          <w:color w:val="000000"/>
        </w:rPr>
      </w:r>
    </w:p>
    <w:p>
      <w:pPr>
        <w:pStyle w:val="Normal"/>
        <w:ind w:hanging="720" w:start="720" w:end="0"/>
        <w:rPr>
          <w:color w:val="000000"/>
        </w:rPr>
      </w:pPr>
      <w:r>
        <w:rPr>
          <w:color w:val="000000"/>
        </w:rPr>
        <w:t>2.</w:t>
        <w:tab/>
        <w:t xml:space="preserve">Enron, Shell and Petrobras are in the early stages of discussions regarding allowing Petrobras to buy a maximum 19% equity interest in TR Holdings.  </w:t>
      </w:r>
      <w:r>
        <w:rPr>
          <w:b/>
          <w:color w:val="000000"/>
        </w:rPr>
        <w:t>[Discuss whether this item needs to be listed on this schedule.]</w:t>
      </w:r>
    </w:p>
    <w:p>
      <w:pPr>
        <w:pStyle w:val="Normal"/>
        <w:rPr>
          <w:color w:val="000000"/>
        </w:rPr>
      </w:pPr>
      <w:r>
        <w:rPr>
          <w:color w:val="000000"/>
        </w:rPr>
      </w:r>
    </w:p>
    <w:p>
      <w:pPr>
        <w:pStyle w:val="Normal"/>
        <w:rPr>
          <w:color w:val="000000"/>
        </w:rPr>
      </w:pPr>
      <w:r>
        <w:rPr>
          <w:color w:val="000000"/>
        </w:rPr>
      </w:r>
      <w:r>
        <w:br w:type="page"/>
      </w:r>
    </w:p>
    <w:p>
      <w:pPr>
        <w:pStyle w:val="Normal"/>
        <w:jc w:val="center"/>
        <w:rPr>
          <w:b/>
        </w:rPr>
      </w:pPr>
      <w:r>
        <w:rPr>
          <w:b/>
        </w:rPr>
        <w:t>SCHEDULE 7.02(vi)</w:t>
      </w:r>
    </w:p>
    <w:p>
      <w:pPr>
        <w:pStyle w:val="Normal"/>
        <w:jc w:val="center"/>
        <w:rPr>
          <w:b/>
        </w:rPr>
      </w:pPr>
      <w:r>
        <w:rPr>
          <w:b/>
        </w:rPr>
      </w:r>
    </w:p>
    <w:p>
      <w:pPr>
        <w:pStyle w:val="Normal"/>
        <w:jc w:val="center"/>
        <w:rPr>
          <w:b/>
        </w:rPr>
      </w:pPr>
      <w:r>
        <w:rPr>
          <w:b/>
        </w:rPr>
        <w:t>CONSTRUCTION OF PROPERTY</w:t>
      </w:r>
    </w:p>
    <w:p>
      <w:pPr>
        <w:pStyle w:val="Normal"/>
        <w:rPr>
          <w:b/>
        </w:rPr>
      </w:pPr>
      <w:r>
        <w:rPr>
          <w:b/>
        </w:rPr>
      </w:r>
    </w:p>
    <w:p>
      <w:pPr>
        <w:pStyle w:val="Normal"/>
        <w:rPr>
          <w:b/>
        </w:rPr>
      </w:pPr>
      <w:r>
        <w:rPr>
          <w:b/>
        </w:rPr>
      </w:r>
    </w:p>
    <w:p>
      <w:pPr>
        <w:pStyle w:val="Normal"/>
        <w:rPr>
          <w:b/>
          <w:color w:val="000000"/>
        </w:rPr>
      </w:pPr>
      <w:r>
        <w:rPr>
          <w:b/>
          <w:color w:val="000000"/>
        </w:rPr>
        <w:t>[See Capital Budget.]</w:t>
      </w:r>
    </w:p>
    <w:p>
      <w:pPr>
        <w:pStyle w:val="Normal"/>
        <w:rPr>
          <w:b/>
          <w:color w:val="000000"/>
        </w:rPr>
      </w:pPr>
      <w:r>
        <w:rPr>
          <w:b/>
          <w:color w:val="000000"/>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r>
        <w:br w:type="page"/>
      </w:r>
    </w:p>
    <w:p>
      <w:pPr>
        <w:pStyle w:val="Normal"/>
        <w:jc w:val="center"/>
        <w:rPr>
          <w:b/>
          <w:color w:val="000000"/>
          <w:lang w:eastAsia="en-US"/>
        </w:rPr>
      </w:pPr>
      <w:r>
        <w:rPr>
          <w:b/>
          <w:color w:val="000000"/>
          <w:lang w:eastAsia="en-US"/>
        </w:rPr>
        <w:t>SCHEDULE 7.02(b)(xii)</w:t>
      </w:r>
    </w:p>
    <w:p>
      <w:pPr>
        <w:pStyle w:val="Normal"/>
        <w:jc w:val="center"/>
        <w:rPr>
          <w:b/>
          <w:color w:val="000000"/>
          <w:lang w:eastAsia="en-US"/>
        </w:rPr>
      </w:pPr>
      <w:r>
        <w:rPr>
          <w:b/>
          <w:color w:val="000000"/>
          <w:lang w:eastAsia="en-US"/>
        </w:rPr>
      </w:r>
    </w:p>
    <w:p>
      <w:pPr>
        <w:pStyle w:val="Normal"/>
        <w:jc w:val="center"/>
        <w:rPr>
          <w:b/>
          <w:color w:val="000000"/>
          <w:lang w:eastAsia="en-US"/>
        </w:rPr>
      </w:pPr>
      <w:r>
        <w:rPr>
          <w:b/>
          <w:color w:val="000000"/>
          <w:lang w:eastAsia="en-US"/>
        </w:rPr>
        <w:t>PAYMENT OF NONCURRENT DEBT</w:t>
      </w:r>
    </w:p>
    <w:p>
      <w:pPr>
        <w:pStyle w:val="Normal"/>
        <w:rPr>
          <w:b/>
          <w:color w:val="000000"/>
          <w:lang w:eastAsia="en-US"/>
        </w:rPr>
      </w:pPr>
      <w:r>
        <w:rPr>
          <w:b/>
          <w:color w:val="000000"/>
          <w:lang w:eastAsia="en-US"/>
        </w:rPr>
      </w:r>
    </w:p>
    <w:p>
      <w:pPr>
        <w:pStyle w:val="Normal"/>
        <w:rPr>
          <w:b/>
          <w:color w:val="000000"/>
          <w:lang w:eastAsia="en-US"/>
        </w:rPr>
      </w:pPr>
      <w:r>
        <w:rPr>
          <w:b/>
          <w:color w:val="000000"/>
          <w:lang w:eastAsia="en-US"/>
        </w:rPr>
      </w:r>
    </w:p>
    <w:p>
      <w:pPr>
        <w:pStyle w:val="Normal"/>
        <w:ind w:hanging="720" w:start="720" w:end="0"/>
        <w:rPr>
          <w:b/>
          <w:color w:val="000000"/>
          <w:sz w:val="18"/>
          <w:lang w:eastAsia="en-US"/>
        </w:rPr>
      </w:pPr>
      <w:r>
        <w:rPr>
          <w:color w:val="000000"/>
          <w:lang w:eastAsia="en-US"/>
        </w:rPr>
        <w:t>1.</w:t>
        <w:tab/>
        <w:t xml:space="preserve">Potentially, Transredes may pre-pay all or some portion of its existing government loans (currently outstanding $170,000,000) may be required in order to avoid limitations imposed by the seniority of these loans. Forty percent of such loans are non-dollar denominated , resulting in foreign exchange exposure. Repayment requires approval from Minister of Finance.  </w:t>
      </w:r>
      <w:r>
        <w:rPr>
          <w:b/>
          <w:color w:val="000000"/>
        </w:rPr>
        <w:t>[Discuss whether this item needs to be listed on this schedule.]</w:t>
      </w:r>
    </w:p>
    <w:p>
      <w:pPr>
        <w:pStyle w:val="Normal"/>
        <w:rPr>
          <w:b/>
          <w:color w:val="000000"/>
          <w:sz w:val="18"/>
          <w:lang w:eastAsia="en-US"/>
        </w:rPr>
      </w:pPr>
      <w:r>
        <w:rPr>
          <w:b/>
          <w:color w:val="000000"/>
          <w:sz w:val="18"/>
          <w:lang w:eastAsia="en-US"/>
        </w:rPr>
      </w:r>
    </w:p>
    <w:p>
      <w:pPr>
        <w:pStyle w:val="Normal"/>
        <w:rPr>
          <w:color w:val="000000"/>
        </w:rPr>
      </w:pPr>
      <w:r>
        <w:rPr>
          <w:color w:val="000000"/>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7.02(d)</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CAPITAL BUDGET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color w:val="000000"/>
        </w:rPr>
      </w:pPr>
      <w:r>
        <w:rPr>
          <w:color w:val="000000"/>
        </w:rPr>
      </w:r>
    </w:p>
    <w:p>
      <w:pPr>
        <w:pStyle w:val="Normal"/>
        <w:rPr>
          <w:color w:val="000000"/>
        </w:rPr>
      </w:pPr>
      <w:r>
        <w:rPr>
          <w:color w:val="000000"/>
        </w:rPr>
      </w:r>
    </w:p>
    <w:p>
      <w:pPr>
        <w:pStyle w:val="Normal"/>
        <w:rPr>
          <w:color w:val="000000"/>
        </w:rPr>
      </w:pPr>
      <w:r>
        <w:rPr>
          <w:color w:val="000000"/>
        </w:rPr>
        <w:t xml:space="preserve">Although the official approved budget totals $165,100,000, the updated budget assumes a level of $55,400,000. </w:t>
      </w:r>
      <w:r>
        <w:rPr>
          <w:b/>
          <w:color w:val="000000"/>
        </w:rPr>
        <w:t xml:space="preserve">[Company to explain further.]  </w:t>
      </w:r>
      <w:r>
        <w:rPr>
          <w:color w:val="000000"/>
        </w:rPr>
        <w:t xml:space="preserve">Any difference will be spent in the course of this year. Given recent cash problems, </w:t>
      </w:r>
      <w:r>
        <w:rPr>
          <w:b/>
          <w:color w:val="000000"/>
        </w:rPr>
        <w:t>[any such expenditures will likely occur in the fourth quarter.]</w:t>
      </w:r>
    </w:p>
    <w:p>
      <w:pPr>
        <w:pStyle w:val="Normal"/>
        <w:rPr>
          <w:b/>
          <w:color w:val="000000"/>
        </w:rPr>
      </w:pPr>
      <w:r>
        <w:rPr>
          <w:b/>
          <w:color w:val="000000"/>
        </w:rPr>
      </w:r>
    </w:p>
    <w:p>
      <w:pPr>
        <w:pStyle w:val="Normal"/>
        <w:jc w:val="center"/>
        <w:rPr>
          <w:b/>
          <w:color w:val="000000"/>
        </w:rPr>
      </w:pPr>
      <w:r>
        <w:rPr>
          <w:b/>
          <w:color w:val="000000"/>
        </w:rPr>
      </w:r>
    </w:p>
    <w:p>
      <w:pPr>
        <w:pStyle w:val="Normal"/>
        <w:rPr>
          <w:color w:val="000000"/>
        </w:rPr>
      </w:pPr>
      <w:r>
        <w:rPr>
          <w:color w:val="000000"/>
        </w:rPr>
        <w:tab/>
        <w:tab/>
        <w:t>Capital Budget for the year 2000 (in US$ millions)</w:t>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tab/>
        <w:tab/>
        <w:tab/>
        <w:tab/>
        <w:t xml:space="preserve">          </w:t>
      </w:r>
      <w:r>
        <w:rPr>
          <w:color w:val="000000"/>
          <w:u w:val="single"/>
        </w:rPr>
        <w:t>Budget</w:t>
      </w:r>
      <w:r>
        <w:rPr>
          <w:color w:val="000000"/>
        </w:rPr>
        <w:tab/>
        <w:tab/>
      </w:r>
      <w:r>
        <w:rPr>
          <w:color w:val="000000"/>
          <w:u w:val="single"/>
        </w:rPr>
        <w:t>LE</w:t>
      </w:r>
      <w:r>
        <w:rPr>
          <w:rStyle w:val="FootnoteCharacters"/>
          <w:rStyle w:val="FootnoteReference"/>
          <w:b/>
          <w:color w:val="000000"/>
          <w:u w:val="single"/>
        </w:rPr>
        <w:footnoteReference w:id="2"/>
      </w:r>
      <w:r>
        <w:rPr>
          <w:color w:val="000000"/>
        </w:rPr>
        <w:tab/>
        <w:tab/>
      </w:r>
      <w:r>
        <w:rPr>
          <w:color w:val="000000"/>
          <w:u w:val="single"/>
        </w:rPr>
        <w:t>Actual May</w:t>
      </w:r>
    </w:p>
    <w:p>
      <w:pPr>
        <w:pStyle w:val="Normal"/>
        <w:rPr>
          <w:color w:val="000000"/>
        </w:rPr>
      </w:pPr>
      <w:r>
        <w:rPr>
          <w:color w:val="000000"/>
        </w:rPr>
        <w:t>Gas Expansion</w:t>
        <w:tab/>
        <w:tab/>
        <w:tab/>
        <w:t>49.5</w:t>
        <w:tab/>
        <w:tab/>
        <w:t>13.7</w:t>
        <w:tab/>
        <w:tab/>
        <w:t xml:space="preserve">      7.5</w:t>
      </w:r>
    </w:p>
    <w:p>
      <w:pPr>
        <w:pStyle w:val="Normal"/>
        <w:rPr>
          <w:color w:val="000000"/>
        </w:rPr>
      </w:pPr>
      <w:r>
        <w:rPr>
          <w:color w:val="000000"/>
        </w:rPr>
        <w:t>Liquids expansion</w:t>
        <w:tab/>
        <w:tab/>
        <w:tab/>
        <w:t>52.9</w:t>
        <w:tab/>
        <w:tab/>
        <w:t>13.9</w:t>
        <w:tab/>
        <w:tab/>
        <w:t xml:space="preserve">      2.1</w:t>
      </w:r>
    </w:p>
    <w:p>
      <w:pPr>
        <w:pStyle w:val="Normal"/>
        <w:rPr>
          <w:color w:val="000000"/>
        </w:rPr>
      </w:pPr>
      <w:r>
        <w:rPr>
          <w:color w:val="000000"/>
        </w:rPr>
        <w:t>Gas Continuity of service</w:t>
        <w:tab/>
        <w:tab/>
        <w:t>14.3</w:t>
        <w:tab/>
        <w:tab/>
        <w:t>9.1</w:t>
        <w:tab/>
        <w:tab/>
        <w:t xml:space="preserve">      2.0</w:t>
      </w:r>
    </w:p>
    <w:p>
      <w:pPr>
        <w:pStyle w:val="Normal"/>
        <w:rPr>
          <w:color w:val="000000"/>
        </w:rPr>
      </w:pPr>
      <w:r>
        <w:rPr>
          <w:color w:val="000000"/>
        </w:rPr>
        <w:t>Liquids Continuity of service</w:t>
        <w:tab/>
        <w:tab/>
        <w:t>19.1</w:t>
        <w:tab/>
        <w:tab/>
        <w:t>13.6</w:t>
        <w:tab/>
        <w:tab/>
        <w:t xml:space="preserve">      3.0</w:t>
      </w:r>
    </w:p>
    <w:p>
      <w:pPr>
        <w:pStyle w:val="Normal"/>
        <w:rPr>
          <w:color w:val="000000"/>
        </w:rPr>
      </w:pPr>
      <w:r>
        <w:rPr>
          <w:color w:val="000000"/>
        </w:rPr>
        <w:t>IT</w:t>
        <w:tab/>
        <w:tab/>
        <w:tab/>
        <w:tab/>
        <w:tab/>
        <w:t>2.2</w:t>
        <w:tab/>
        <w:tab/>
        <w:t>2.2</w:t>
        <w:tab/>
        <w:tab/>
        <w:t xml:space="preserve">      0.1</w:t>
      </w:r>
    </w:p>
    <w:p>
      <w:pPr>
        <w:pStyle w:val="Normal"/>
        <w:rPr>
          <w:color w:val="000000"/>
        </w:rPr>
      </w:pPr>
      <w:r>
        <w:rPr>
          <w:color w:val="000000"/>
        </w:rPr>
        <w:t>Buildings/other</w:t>
        <w:tab/>
        <w:tab/>
        <w:tab/>
        <w:t>2.9</w:t>
        <w:tab/>
        <w:tab/>
        <w:t>2.9</w:t>
        <w:tab/>
        <w:tab/>
        <w:t xml:space="preserve">      1.7</w:t>
      </w:r>
    </w:p>
    <w:p>
      <w:pPr>
        <w:pStyle w:val="Normal"/>
        <w:rPr/>
      </w:pPr>
      <w:r>
        <w:rPr>
          <w:color w:val="000000"/>
        </w:rPr>
        <w:t>Financing cost</w:t>
        <w:tab/>
        <w:tab/>
        <w:tab/>
        <w:tab/>
      </w:r>
      <w:r>
        <w:rPr>
          <w:color w:val="000000"/>
          <w:u w:val="single"/>
        </w:rPr>
        <w:t>24.2</w:t>
      </w:r>
      <w:r>
        <w:rPr>
          <w:color w:val="000000"/>
        </w:rPr>
        <w:tab/>
        <w:tab/>
      </w:r>
      <w:r>
        <w:rPr>
          <w:color w:val="000000"/>
          <w:u w:val="single"/>
        </w:rPr>
        <w:t xml:space="preserve">0     </w:t>
      </w:r>
      <w:r>
        <w:rPr>
          <w:color w:val="000000"/>
        </w:rPr>
        <w:tab/>
        <w:tab/>
        <w:t xml:space="preserve">     </w:t>
      </w:r>
      <w:r>
        <w:rPr>
          <w:color w:val="000000"/>
          <w:u w:val="single"/>
        </w:rPr>
        <w:t xml:space="preserve">    0</w:t>
      </w:r>
    </w:p>
    <w:p>
      <w:pPr>
        <w:pStyle w:val="Normal"/>
        <w:rPr>
          <w:color w:val="000000"/>
          <w:u w:val="single"/>
        </w:rPr>
      </w:pPr>
      <w:r>
        <w:rPr>
          <w:color w:val="000000"/>
          <w:u w:val="single"/>
        </w:rPr>
      </w:r>
    </w:p>
    <w:p>
      <w:pPr>
        <w:pStyle w:val="Heading3"/>
        <w:ind w:hanging="0" w:start="0"/>
        <w:rPr>
          <w:rFonts w:ascii="Times New Roman" w:hAnsi="Times New Roman" w:cs="Times New Roman"/>
          <w:i w:val="false"/>
          <w:i w:val="false"/>
          <w:color w:val="000000"/>
        </w:rPr>
      </w:pPr>
      <w:r>
        <w:rPr>
          <w:rFonts w:cs="Times New Roman" w:ascii="Times New Roman" w:hAnsi="Times New Roman"/>
          <w:i w:val="false"/>
          <w:color w:val="000000"/>
        </w:rPr>
        <w:t>Totals</w:t>
        <w:tab/>
        <w:tab/>
        <w:tab/>
        <w:tab/>
        <w:tab/>
      </w:r>
      <w:r>
        <w:rPr>
          <w:rFonts w:cs="Times New Roman" w:ascii="Times New Roman" w:hAnsi="Times New Roman"/>
          <w:i w:val="false"/>
          <w:color w:val="000000"/>
          <w:u w:val="double"/>
        </w:rPr>
        <w:t>165.1</w:t>
      </w:r>
      <w:r>
        <w:rPr>
          <w:rFonts w:cs="Times New Roman" w:ascii="Times New Roman" w:hAnsi="Times New Roman"/>
          <w:i w:val="false"/>
          <w:color w:val="000000"/>
        </w:rPr>
        <w:tab/>
        <w:tab/>
      </w:r>
      <w:r>
        <w:rPr>
          <w:rFonts w:cs="Times New Roman" w:ascii="Times New Roman" w:hAnsi="Times New Roman"/>
          <w:i w:val="false"/>
          <w:color w:val="000000"/>
          <w:u w:val="double"/>
        </w:rPr>
        <w:t>55.4</w:t>
      </w:r>
      <w:r>
        <w:rPr>
          <w:rFonts w:cs="Times New Roman" w:ascii="Times New Roman" w:hAnsi="Times New Roman"/>
          <w:i w:val="false"/>
          <w:color w:val="000000"/>
        </w:rPr>
        <w:tab/>
        <w:tab/>
        <w:t xml:space="preserve">     </w:t>
      </w:r>
      <w:r>
        <w:rPr>
          <w:rFonts w:cs="Times New Roman" w:ascii="Times New Roman" w:hAnsi="Times New Roman"/>
          <w:i w:val="false"/>
          <w:color w:val="000000"/>
          <w:u w:val="double"/>
        </w:rPr>
        <w:t>16.4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i/>
          <w:i/>
          <w:color w:val="000000"/>
        </w:rPr>
      </w:pPr>
      <w:r>
        <w:rPr>
          <w:rFonts w:cs="Times New Roman"/>
          <w:i/>
          <w:color w:val="000000"/>
        </w:rPr>
      </w:r>
    </w:p>
    <w:p>
      <w:pPr>
        <w:pStyle w:val="Normal"/>
        <w:rPr>
          <w:b/>
          <w:i/>
          <w:i/>
          <w:color w:val="000000"/>
        </w:rPr>
      </w:pPr>
      <w:r>
        <w:rPr>
          <w:b/>
          <w:i/>
          <w:color w:val="000000"/>
        </w:rPr>
      </w:r>
    </w:p>
    <w:p>
      <w:pPr>
        <w:pStyle w:val="Normal"/>
        <w:rPr>
          <w:b/>
          <w:i/>
          <w:i/>
          <w:color w:val="000000"/>
          <w:u w:val="single"/>
        </w:rPr>
      </w:pPr>
      <w:r>
        <w:rPr>
          <w:b/>
          <w:i/>
          <w:color w:val="000000"/>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7.05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PRINCIPAL CONTRACTS THAT ARE 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Schedule sets forth all Principal Contracts that are Related Party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w:t>
        <w:tab/>
        <w:t xml:space="preserve">Downstream Agreement, dated as of December 4, 1996, among Enron Transportadora Holdings, Ltd.(successor by assignment from Enron Transportadora (Bolivia) S.A.), Enron Electric Mato Grosso do Sul C.V. (“EEMGS”), Enron Electric Power Brazil C.V. (“EEPB”) and SCHL and Shell Gas (Latin America) B.V., as amended by Amendment No. 1, dated as of May 16, 1997.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w:t>
        <w:tab/>
        <w:t>Technical Services Agreement dated _____________ whereby Enron Corp. and Transredes arrange for the reimbursement of seconded employees.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Houston:284540 v 1</w:t>
    </w:r>
  </w:p>
  <w:p>
    <w:pPr>
      <w:pStyle w:val="Footer"/>
      <w:rPr>
        <w:sz w:val="16"/>
      </w:rPr>
    </w:pPr>
    <w:r>
      <w:rPr>
        <w:sz w:val="16"/>
      </w:rPr>
      <w:t>Summer - Transredes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Houston:284540 v 1</w:t>
    </w:r>
  </w:p>
  <w:p>
    <w:pPr>
      <w:pStyle w:val="Footer"/>
      <w:rPr>
        <w:sz w:val="16"/>
      </w:rPr>
    </w:pPr>
    <w:r>
      <w:rPr>
        <w:sz w:val="16"/>
      </w:rPr>
      <w:t>Summer - Transredes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Houston:284540 v 1</w:t>
    </w:r>
  </w:p>
  <w:p>
    <w:pPr>
      <w:pStyle w:val="Footer"/>
      <w:rPr>
        <w:sz w:val="16"/>
      </w:rPr>
    </w:pPr>
    <w:r>
      <w:rPr>
        <w:sz w:val="16"/>
      </w:rPr>
      <w:t>Summer - Transredes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b/>
        </w:rPr>
        <w:t xml:space="preserve"> </w:t>
      </w:r>
      <w:r>
        <w:rPr>
          <w:b/>
        </w:rPr>
        <w:t>Company to provide definition of "LE".</w:t>
      </w:r>
    </w:p>
    <w:p>
      <w:pPr>
        <w:pStyle w:val="FootnoteText"/>
        <w:rPr/>
      </w:pPr>
      <w:r>
        <w:rPr/>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Transredes Draft</w:t>
    </w:r>
  </w:p>
  <w:p>
    <w:pPr>
      <w:pStyle w:val="Header"/>
      <w:jc w:val="end"/>
      <w:rPr>
        <w:b/>
      </w:rPr>
    </w:pPr>
    <w:r>
      <w:rPr>
        <w:b/>
      </w:rPr>
      <w:t>July 31,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Transredes Draft</w:t>
    </w:r>
  </w:p>
  <w:p>
    <w:pPr>
      <w:pStyle w:val="Header"/>
      <w:jc w:val="end"/>
      <w:rPr>
        <w:b/>
      </w:rPr>
    </w:pPr>
    <w:r>
      <w:rPr>
        <w:b/>
      </w:rPr>
      <w:t>July 31, 2000</w:t>
    </w:r>
  </w:p>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Summer</w:t>
    </w:r>
  </w:p>
  <w:p>
    <w:pPr>
      <w:pStyle w:val="Header"/>
      <w:jc w:val="end"/>
      <w:rPr>
        <w:b/>
      </w:rPr>
    </w:pPr>
    <w:r>
      <w:rPr>
        <w:b/>
      </w:rPr>
      <w:t>Transredes Draft</w:t>
    </w:r>
  </w:p>
  <w:p>
    <w:pPr>
      <w:pStyle w:val="Header"/>
      <w:jc w:val="end"/>
      <w:rPr>
        <w:b/>
      </w:rPr>
    </w:pPr>
    <w:r>
      <w:rPr>
        <w:b/>
      </w:rPr>
      <w:t>July 31, 2000</w:t>
    </w:r>
  </w:p>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
    <w:qFormat/>
    <w:pPr>
      <w:keepNext w:val="true"/>
      <w:numPr>
        <w:ilvl w:val="2"/>
        <w:numId w:val="1"/>
      </w:numPr>
      <w:jc w:val="start"/>
      <w:outlineLvl w:val="2"/>
    </w:pPr>
    <w:rPr>
      <w:rFonts w:ascii="Arial" w:hAnsi="Arial" w:cs="Arial"/>
      <w:i/>
      <w:color w:val="0000FF"/>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i w:val="false"/>
      <w:color w:val="auto"/>
    </w:rPr>
  </w:style>
  <w:style w:type="character" w:styleId="WW8Num7z0">
    <w:name w:val="WW8Num7z0"/>
    <w:qFormat/>
    <w:rPr>
      <w:rFonts w:ascii="Times New Roman" w:hAnsi="Times New Roman" w:cs="Times New Roman"/>
    </w:rPr>
  </w:style>
  <w:style w:type="character" w:styleId="WW8Num9z0">
    <w:name w:val="WW8Num9z0"/>
    <w:qFormat/>
    <w:rPr>
      <w:i w:val="false"/>
      <w:color w:val="auto"/>
    </w:rPr>
  </w:style>
  <w:style w:type="character" w:styleId="WW8Num11z0">
    <w:name w:val="WW8Num11z0"/>
    <w:qFormat/>
    <w:rPr>
      <w:i w:val="false"/>
      <w:color w:val="auto"/>
    </w:rPr>
  </w:style>
  <w:style w:type="character" w:styleId="WW8Num13z0">
    <w:name w:val="WW8Num13z0"/>
    <w:qFormat/>
    <w:rPr/>
  </w:style>
  <w:style w:type="character" w:styleId="WW8Num21z0">
    <w:name w:val="WW8Num21z0"/>
    <w:qFormat/>
    <w:rPr>
      <w:i w:val="false"/>
      <w:color w:val="auto"/>
    </w:rPr>
  </w:style>
  <w:style w:type="character" w:styleId="WW8Num25z0">
    <w:name w:val="WW8Num25z0"/>
    <w:qFormat/>
    <w:rPr/>
  </w:style>
  <w:style w:type="character" w:styleId="WW8Num26z0">
    <w:name w:val="WW8Num26z0"/>
    <w:qFormat/>
    <w:rPr>
      <w:i w:val="false"/>
      <w:color w:val="auto"/>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jc w:val="start"/>
    </w:pPr>
    <w:rPr>
      <w:rFonts w:ascii="Arial" w:hAnsi="Arial" w:cs="Arial"/>
      <w:b/>
    </w:rPr>
  </w:style>
  <w:style w:type="paragraph" w:styleId="BodyText3">
    <w:name w:val="Body Text 3"/>
    <w:basedOn w:val="Normal"/>
    <w:qFormat/>
    <w:pPr/>
    <w:rPr>
      <w:rFonts w:ascii="Arial" w:hAnsi="Arial" w:cs="Arial"/>
      <w:i/>
      <w:color w:val="0000FF"/>
    </w:rPr>
  </w:style>
  <w:style w:type="paragraph" w:styleId="BodyTextIndent">
    <w:name w:val="Body Text Indent"/>
    <w:basedOn w:val="Normal"/>
    <w:pPr>
      <w:ind w:hanging="0" w:start="720" w:end="0"/>
      <w:jc w:val="start"/>
    </w:pPr>
    <w:rPr>
      <w:rFonts w:ascii="Arial" w:hAnsi="Arial" w:cs="Arial"/>
      <w:i/>
      <w:color w:val="0000FF"/>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2000-08-01T02:27:00Z</dcterms:created>
  <dc:creator>Vinson &amp; Elkins L.L.P.</dc:creator>
  <dc:description/>
  <dc:language>en-CA</dc:language>
  <cp:lastModifiedBy>Linda S. DiFeo</cp:lastModifiedBy>
  <cp:lastPrinted>2000-07-31T23:56:00Z</cp:lastPrinted>
  <dcterms:modified xsi:type="dcterms:W3CDTF">2000-08-01T02:27:00Z</dcterms:modified>
  <cp:revision>2</cp:revision>
  <dc:subject/>
  <dc:title>SCHEDULE 4</dc:title>
</cp:coreProperties>
</file>