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LIST OF SUBJECT COMPANIES, SUBSIDIARIES OF SUBJECT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COMPANIES AND OPERATING COMPANIES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rPr/>
      </w:pPr>
      <w:r>
        <w:rPr/>
        <w:t>This schedule sets forth with respect to each Business a true and complete list of all Subject Companies and of the Transfer Companies comprising the Subject Company Group, together with (a) a specification of the nature of the legal organization of each such entity, (b) the jurisdiction of incorporation or other organization of each such entity and (c) the magnitude (expressed as a percentage of all outstanding Equity Securities of such legal entity) of the direct or indirect equity investment of the Parent (and, if different, the economic interest) in each such entity.</w:t>
      </w:r>
    </w:p>
    <w:p>
      <w:pPr>
        <w:pStyle w:val="Normal"/>
        <w:rPr/>
      </w:pPr>
      <w:r>
        <w:rPr/>
      </w:r>
    </w:p>
    <w:p>
      <w:pPr>
        <w:pStyle w:val="Normal"/>
        <w:ind w:start="720" w:end="0"/>
        <w:rPr/>
      </w:pPr>
      <w:r>
        <w:rPr>
          <w:u w:val="single"/>
        </w:rPr>
        <w:t>Subject Company</w:t>
      </w:r>
      <w:r>
        <w:rPr/>
        <w:t>: Enron Global Power &amp; Pipelines L.L.C., a Delaware limited liability company (100%).</w:t>
      </w:r>
    </w:p>
    <w:p>
      <w:pPr>
        <w:pStyle w:val="Normal"/>
        <w:ind w:hanging="2880" w:end="0"/>
        <w:rPr/>
      </w:pPr>
      <w:r>
        <w:rPr/>
      </w:r>
    </w:p>
    <w:p>
      <w:pPr>
        <w:pStyle w:val="Normal"/>
        <w:tabs>
          <w:tab w:val="left" w:pos="720" w:leader="none"/>
          <w:tab w:val="left" w:pos="1440" w:leader="none"/>
        </w:tabs>
        <w:ind w:hanging="4320" w:start="1440" w:end="0"/>
        <w:rPr/>
      </w:pPr>
      <w:r>
        <w:rPr/>
        <w:tab/>
        <w:tab/>
      </w:r>
      <w:r>
        <w:rPr>
          <w:u w:val="single"/>
        </w:rPr>
        <w:t>Subsidiaries</w:t>
      </w:r>
      <w:r>
        <w:rPr/>
        <w:t>: Enron Brazil Power Holdings II Ltd., a Cayman Islands corporation (100%).</w:t>
      </w:r>
    </w:p>
    <w:p>
      <w:pPr>
        <w:pStyle w:val="Normal"/>
        <w:ind w:hanging="2880" w:end="0"/>
        <w:rPr/>
      </w:pPr>
      <w:r>
        <w:rPr/>
      </w:r>
    </w:p>
    <w:p>
      <w:pPr>
        <w:pStyle w:val="Normal"/>
        <w:ind w:start="1440" w:end="0"/>
        <w:rPr/>
      </w:pPr>
      <w:r>
        <w:rPr/>
        <w:t>Enron Brazil Power Investments II Ltd., a Cayman Islands corporation (100%)</w:t>
      </w:r>
    </w:p>
    <w:p>
      <w:pPr>
        <w:pStyle w:val="Normal"/>
        <w:ind w:hanging="2880" w:end="0"/>
        <w:rPr/>
      </w:pPr>
      <w:r>
        <w:rPr/>
      </w:r>
    </w:p>
    <w:p>
      <w:pPr>
        <w:pStyle w:val="Normal"/>
        <w:tabs>
          <w:tab w:val="left" w:pos="720" w:leader="none"/>
          <w:tab w:val="left" w:pos="1440" w:leader="none"/>
        </w:tabs>
        <w:ind w:hanging="4320" w:start="1440" w:end="0"/>
        <w:rPr/>
      </w:pPr>
      <w:r>
        <w:rPr/>
        <w:tab/>
        <w:tab/>
        <w:t xml:space="preserve">ESAE-Empresa Sul Americana de Energia Ltda., a Brazilian </w:t>
      </w:r>
      <w:r>
        <w:rPr>
          <w:b/>
        </w:rPr>
        <w:t>[limitada</w:t>
      </w:r>
      <w:r>
        <w:rPr/>
        <w:t>] (100%)</w:t>
      </w:r>
    </w:p>
    <w:p>
      <w:pPr>
        <w:pStyle w:val="Normal"/>
        <w:ind w:hanging="2880" w:end="0"/>
        <w:rPr/>
      </w:pPr>
      <w:r>
        <w:rPr/>
      </w:r>
    </w:p>
    <w:p>
      <w:pPr>
        <w:pStyle w:val="Normal"/>
        <w:tabs>
          <w:tab w:val="left" w:pos="720" w:leader="none"/>
          <w:tab w:val="left" w:pos="1440" w:leader="none"/>
          <w:tab w:val="left" w:pos="2160" w:leader="none"/>
        </w:tabs>
        <w:ind w:hanging="5040" w:start="2160" w:end="0"/>
        <w:rPr/>
      </w:pPr>
      <w:r>
        <w:rPr/>
        <w:tab/>
        <w:tab/>
        <w:tab/>
      </w:r>
      <w:r>
        <w:rPr>
          <w:u w:val="single"/>
        </w:rPr>
        <w:t>Operating Company</w:t>
      </w:r>
      <w:r>
        <w:rPr/>
        <w:t>: Transportadora Brasileira Gasoduto Bolivia-Brasil S.A., a Brazilian _______________ (4%, with an additional indirect 3% held through Transredes).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jc w:val="center"/>
        <w:outlineLvl w:val="0"/>
        <w:rPr>
          <w:b/>
        </w:rPr>
      </w:pPr>
      <w:r>
        <w:rPr>
          <w:b/>
        </w:rPr>
        <w:t>SCHEDULE 5.03(a)</w:t>
      </w:r>
    </w:p>
    <w:p>
      <w:pPr>
        <w:pStyle w:val="Normal"/>
        <w:rPr/>
      </w:pPr>
      <w:r>
        <w:rPr/>
      </w:r>
    </w:p>
    <w:p>
      <w:pPr>
        <w:pStyle w:val="Normal"/>
        <w:numPr>
          <w:ilvl w:val="0"/>
          <w:numId w:val="0"/>
        </w:numPr>
        <w:jc w:val="center"/>
        <w:outlineLvl w:val="0"/>
        <w:rPr>
          <w:b/>
        </w:rPr>
      </w:pPr>
      <w:r>
        <w:rPr>
          <w:b/>
        </w:rPr>
        <w:t>EQUITY SECURITIES OF EACH SUBJECT COMPANY</w:t>
      </w:r>
    </w:p>
    <w:p>
      <w:pPr>
        <w:pStyle w:val="Normal"/>
        <w:rPr/>
      </w:pPr>
      <w:r>
        <w:rPr/>
      </w:r>
    </w:p>
    <w:p>
      <w:pPr>
        <w:pStyle w:val="Normal"/>
        <w:rPr/>
      </w:pPr>
      <w:r>
        <w:rPr/>
        <w:tab/>
        <w:t>The following are the authorized Equity Securities of each Subject Company, the total outstanding Equity Securities in each Subject Company and the outstanding Equity Securities of each Subject Company directly or indirectly owned by the Parent, in each case as of the date of the Agreement:</w:t>
      </w:r>
    </w:p>
    <w:p>
      <w:pPr>
        <w:pStyle w:val="Normal"/>
        <w:rPr/>
      </w:pPr>
      <w:r>
        <w:rPr/>
      </w:r>
    </w:p>
    <w:tbl>
      <w:tblPr>
        <w:tblW w:w="12330" w:type="dxa"/>
        <w:jc w:val="start"/>
        <w:tblInd w:w="100" w:type="dxa"/>
        <w:tblLayout w:type="fixed"/>
        <w:tblCellMar>
          <w:top w:w="0" w:type="dxa"/>
          <w:start w:w="100" w:type="dxa"/>
          <w:bottom w:w="0" w:type="dxa"/>
          <w:end w:w="100" w:type="dxa"/>
        </w:tblCellMar>
      </w:tblPr>
      <w:tblGrid>
        <w:gridCol w:w="1710"/>
        <w:gridCol w:w="2250"/>
        <w:gridCol w:w="1800"/>
        <w:gridCol w:w="1710"/>
        <w:gridCol w:w="1710"/>
        <w:gridCol w:w="1440"/>
        <w:gridCol w:w="1710"/>
      </w:tblGrid>
      <w:tr>
        <w:trPr>
          <w:tblHeader w:val="true"/>
          <w:trHeight w:val="403" w:hRule="atLeast"/>
        </w:trPr>
        <w:tc>
          <w:tcPr>
            <w:tcW w:w="1710" w:type="dxa"/>
            <w:tcBorders>
              <w:top w:val="single" w:sz="6" w:space="0" w:color="000000"/>
              <w:start w:val="single" w:sz="6" w:space="0" w:color="000000"/>
            </w:tcBorders>
          </w:tcPr>
          <w:p>
            <w:pPr>
              <w:pStyle w:val="Normal"/>
              <w:rPr>
                <w:b/>
              </w:rPr>
            </w:pPr>
            <w:r>
              <w:rPr>
                <w:b/>
              </w:rPr>
              <w:t>Business</w:t>
            </w:r>
          </w:p>
        </w:tc>
        <w:tc>
          <w:tcPr>
            <w:tcW w:w="2250" w:type="dxa"/>
            <w:tcBorders>
              <w:top w:val="single" w:sz="6" w:space="0" w:color="000000"/>
              <w:start w:val="single" w:sz="6" w:space="0" w:color="000000"/>
            </w:tcBorders>
          </w:tcPr>
          <w:p>
            <w:pPr>
              <w:pStyle w:val="Normal"/>
              <w:rPr>
                <w:b/>
              </w:rPr>
            </w:pPr>
            <w:r>
              <w:rPr>
                <w:b/>
              </w:rPr>
              <w:t xml:space="preserve">Name of </w:t>
              <w:tab/>
            </w:r>
          </w:p>
          <w:p>
            <w:pPr>
              <w:pStyle w:val="Normal"/>
              <w:rPr>
                <w:b/>
              </w:rPr>
            </w:pPr>
            <w:r>
              <w:rPr>
                <w:b/>
              </w:rPr>
              <w:t xml:space="preserve">Subject </w:t>
              <w:tab/>
            </w:r>
          </w:p>
          <w:p>
            <w:pPr>
              <w:pStyle w:val="Normal"/>
              <w:rPr>
                <w:b/>
              </w:rPr>
            </w:pPr>
            <w:r>
              <w:rPr>
                <w:b/>
              </w:rPr>
              <w:t>Company</w:t>
            </w:r>
          </w:p>
        </w:tc>
        <w:tc>
          <w:tcPr>
            <w:tcW w:w="1800" w:type="dxa"/>
            <w:tcBorders>
              <w:top w:val="single" w:sz="6" w:space="0" w:color="000000"/>
              <w:start w:val="single" w:sz="6" w:space="0" w:color="000000"/>
            </w:tcBorders>
          </w:tcPr>
          <w:p>
            <w:pPr>
              <w:pStyle w:val="Normal"/>
              <w:rPr>
                <w:b/>
              </w:rPr>
            </w:pPr>
            <w:r>
              <w:rPr>
                <w:b/>
              </w:rPr>
              <w:t>Description</w:t>
            </w:r>
          </w:p>
          <w:p>
            <w:pPr>
              <w:pStyle w:val="Normal"/>
              <w:rPr>
                <w:b/>
              </w:rPr>
            </w:pPr>
            <w:r>
              <w:rPr>
                <w:b/>
              </w:rPr>
              <w:t xml:space="preserve">of Equity </w:t>
            </w:r>
          </w:p>
          <w:p>
            <w:pPr>
              <w:pStyle w:val="Normal"/>
              <w:rPr>
                <w:b/>
              </w:rPr>
            </w:pPr>
            <w:r>
              <w:rPr>
                <w:b/>
              </w:rPr>
              <w:t>Securities</w:t>
            </w:r>
          </w:p>
        </w:tc>
        <w:tc>
          <w:tcPr>
            <w:tcW w:w="1710" w:type="dxa"/>
            <w:tcBorders>
              <w:top w:val="single" w:sz="6" w:space="0" w:color="000000"/>
              <w:start w:val="single" w:sz="6" w:space="0" w:color="000000"/>
            </w:tcBorders>
          </w:tcPr>
          <w:p>
            <w:pPr>
              <w:pStyle w:val="Normal"/>
              <w:rPr>
                <w:b/>
              </w:rPr>
            </w:pPr>
            <w:r>
              <w:rPr>
                <w:b/>
              </w:rPr>
              <w:t>Authorized</w:t>
            </w:r>
          </w:p>
          <w:p>
            <w:pPr>
              <w:pStyle w:val="Normal"/>
              <w:rPr>
                <w:b/>
              </w:rPr>
            </w:pPr>
            <w:r>
              <w:rPr>
                <w:b/>
              </w:rPr>
              <w:t>Equity</w:t>
            </w:r>
          </w:p>
          <w:p>
            <w:pPr>
              <w:pStyle w:val="Normal"/>
              <w:rPr>
                <w:b/>
              </w:rPr>
            </w:pPr>
            <w:r>
              <w:rPr>
                <w:b/>
              </w:rPr>
              <w:t>Securities</w:t>
            </w:r>
          </w:p>
        </w:tc>
        <w:tc>
          <w:tcPr>
            <w:tcW w:w="1710" w:type="dxa"/>
            <w:tcBorders>
              <w:top w:val="single" w:sz="6" w:space="0" w:color="000000"/>
              <w:start w:val="single" w:sz="6" w:space="0" w:color="000000"/>
            </w:tcBorders>
          </w:tcPr>
          <w:p>
            <w:pPr>
              <w:pStyle w:val="Normal"/>
              <w:rPr>
                <w:b/>
              </w:rPr>
            </w:pPr>
            <w:r>
              <w:rPr>
                <w:b/>
              </w:rPr>
              <w:t xml:space="preserve">Outstanding </w:t>
            </w:r>
          </w:p>
          <w:p>
            <w:pPr>
              <w:pStyle w:val="Normal"/>
              <w:rPr>
                <w:b/>
              </w:rPr>
            </w:pPr>
            <w:r>
              <w:rPr>
                <w:b/>
              </w:rPr>
              <w:t xml:space="preserve">Equity </w:t>
              <w:tab/>
            </w:r>
          </w:p>
          <w:p>
            <w:pPr>
              <w:pStyle w:val="Normal"/>
              <w:rPr>
                <w:b/>
              </w:rPr>
            </w:pPr>
            <w:r>
              <w:rPr>
                <w:b/>
              </w:rPr>
              <w:t>Securities</w:t>
            </w:r>
          </w:p>
        </w:tc>
        <w:tc>
          <w:tcPr>
            <w:tcW w:w="1440" w:type="dxa"/>
            <w:tcBorders>
              <w:top w:val="single" w:sz="6" w:space="0" w:color="000000"/>
              <w:start w:val="single" w:sz="6" w:space="0" w:color="000000"/>
            </w:tcBorders>
          </w:tcPr>
          <w:p>
            <w:pPr>
              <w:pStyle w:val="Normal"/>
              <w:rPr>
                <w:b/>
              </w:rPr>
            </w:pPr>
            <w:r>
              <w:rPr>
                <w:b/>
              </w:rPr>
              <w:t>Equity Securities</w:t>
            </w:r>
          </w:p>
          <w:p>
            <w:pPr>
              <w:pStyle w:val="Normal"/>
              <w:rPr>
                <w:b/>
              </w:rPr>
            </w:pPr>
            <w:r>
              <w:rPr>
                <w:b/>
              </w:rPr>
              <w:t xml:space="preserve">Owned by </w:t>
            </w:r>
          </w:p>
          <w:p>
            <w:pPr>
              <w:pStyle w:val="Normal"/>
              <w:rPr>
                <w:b/>
              </w:rPr>
            </w:pPr>
            <w:r>
              <w:rPr>
                <w:b/>
              </w:rPr>
              <w:t>Seller</w:t>
            </w:r>
          </w:p>
        </w:tc>
        <w:tc>
          <w:tcPr>
            <w:tcW w:w="1710" w:type="dxa"/>
            <w:tcBorders>
              <w:top w:val="single" w:sz="6" w:space="0" w:color="000000"/>
              <w:start w:val="single" w:sz="6" w:space="0" w:color="000000"/>
              <w:end w:val="single" w:sz="6" w:space="0" w:color="000000"/>
            </w:tcBorders>
          </w:tcPr>
          <w:p>
            <w:pPr>
              <w:pStyle w:val="Normal"/>
              <w:rPr>
                <w:b/>
              </w:rPr>
            </w:pPr>
            <w:r>
              <w:rPr>
                <w:b/>
              </w:rPr>
              <w:t>% of Subject</w:t>
            </w:r>
          </w:p>
          <w:p>
            <w:pPr>
              <w:pStyle w:val="Normal"/>
              <w:rPr>
                <w:b/>
              </w:rPr>
            </w:pPr>
            <w:r>
              <w:rPr>
                <w:b/>
              </w:rPr>
              <w:t xml:space="preserve">Company Owned and Transferred </w:t>
            </w:r>
          </w:p>
          <w:p>
            <w:pPr>
              <w:pStyle w:val="Normal"/>
              <w:rPr>
                <w:b/>
              </w:rPr>
            </w:pPr>
            <w:r>
              <w:rPr>
                <w:b/>
              </w:rPr>
              <w:t>by Seller</w:t>
            </w:r>
          </w:p>
        </w:tc>
      </w:tr>
      <w:tr>
        <w:trPr>
          <w:trHeight w:val="403" w:hRule="atLeast"/>
        </w:trPr>
        <w:tc>
          <w:tcPr>
            <w:tcW w:w="1710" w:type="dxa"/>
            <w:tcBorders>
              <w:top w:val="single" w:sz="6" w:space="0" w:color="000000"/>
              <w:start w:val="single" w:sz="6" w:space="0" w:color="000000"/>
              <w:bottom w:val="single" w:sz="4" w:space="0" w:color="000000"/>
            </w:tcBorders>
          </w:tcPr>
          <w:p>
            <w:pPr>
              <w:pStyle w:val="Normal"/>
              <w:rPr/>
            </w:pPr>
            <w:r>
              <w:rPr/>
              <w:t>TBG</w:t>
            </w:r>
          </w:p>
        </w:tc>
        <w:tc>
          <w:tcPr>
            <w:tcW w:w="2250" w:type="dxa"/>
            <w:tcBorders>
              <w:top w:val="single" w:sz="6" w:space="0" w:color="000000"/>
              <w:start w:val="single" w:sz="6" w:space="0" w:color="000000"/>
              <w:bottom w:val="single" w:sz="4" w:space="0" w:color="000000"/>
            </w:tcBorders>
          </w:tcPr>
          <w:p>
            <w:pPr>
              <w:pStyle w:val="Normal"/>
              <w:rPr/>
            </w:pPr>
            <w:r>
              <w:rPr/>
              <w:t xml:space="preserve">Enron Global Power &amp; Pipelines LLC </w:t>
            </w:r>
          </w:p>
          <w:p>
            <w:pPr>
              <w:pStyle w:val="Normal"/>
              <w:rPr/>
            </w:pPr>
            <w:r>
              <w:rPr/>
              <w:t>(EGPP)</w:t>
            </w:r>
          </w:p>
        </w:tc>
        <w:tc>
          <w:tcPr>
            <w:tcW w:w="1800" w:type="dxa"/>
            <w:tcBorders>
              <w:top w:val="single" w:sz="6" w:space="0" w:color="000000"/>
              <w:start w:val="single" w:sz="6" w:space="0" w:color="000000"/>
              <w:bottom w:val="single" w:sz="4" w:space="0" w:color="000000"/>
            </w:tcBorders>
          </w:tcPr>
          <w:p>
            <w:pPr>
              <w:pStyle w:val="Normal"/>
              <w:snapToGrid w:val="false"/>
              <w:rPr/>
            </w:pPr>
            <w:r>
              <w:rPr/>
            </w:r>
          </w:p>
        </w:tc>
        <w:tc>
          <w:tcPr>
            <w:tcW w:w="1710" w:type="dxa"/>
            <w:tcBorders>
              <w:top w:val="single" w:sz="6" w:space="0" w:color="000000"/>
              <w:start w:val="single" w:sz="6" w:space="0" w:color="000000"/>
              <w:bottom w:val="single" w:sz="4" w:space="0" w:color="000000"/>
            </w:tcBorders>
          </w:tcPr>
          <w:p>
            <w:pPr>
              <w:pStyle w:val="Normal"/>
              <w:snapToGrid w:val="false"/>
              <w:rPr/>
            </w:pPr>
            <w:r>
              <w:rPr/>
            </w:r>
          </w:p>
        </w:tc>
        <w:tc>
          <w:tcPr>
            <w:tcW w:w="1710" w:type="dxa"/>
            <w:tcBorders>
              <w:top w:val="single" w:sz="6" w:space="0" w:color="000000"/>
              <w:start w:val="single" w:sz="6" w:space="0" w:color="000000"/>
              <w:bottom w:val="single" w:sz="4" w:space="0" w:color="000000"/>
            </w:tcBorders>
          </w:tcPr>
          <w:p>
            <w:pPr>
              <w:pStyle w:val="Normal"/>
              <w:snapToGrid w:val="false"/>
              <w:rPr/>
            </w:pPr>
            <w:r>
              <w:rPr/>
            </w:r>
          </w:p>
        </w:tc>
        <w:tc>
          <w:tcPr>
            <w:tcW w:w="1440" w:type="dxa"/>
            <w:tcBorders>
              <w:top w:val="single" w:sz="6" w:space="0" w:color="000000"/>
              <w:start w:val="single" w:sz="6" w:space="0" w:color="000000"/>
              <w:bottom w:val="single" w:sz="4" w:space="0" w:color="000000"/>
            </w:tcBorders>
          </w:tcPr>
          <w:p>
            <w:pPr>
              <w:pStyle w:val="Normal"/>
              <w:snapToGrid w:val="false"/>
              <w:rPr/>
            </w:pPr>
            <w:r>
              <w:rPr/>
            </w:r>
          </w:p>
        </w:tc>
        <w:tc>
          <w:tcPr>
            <w:tcW w:w="1710"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sectPr>
          <w:headerReference w:type="default" r:id="rId4"/>
          <w:headerReference w:type="first" r:id="rId5"/>
          <w:footerReference w:type="default" r:id="rId6"/>
          <w:footerReference w:type="first" r:id="rId7"/>
          <w:type w:val="nextPage"/>
          <w:pgSz w:orient="landscape" w:w="15840" w:h="122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jc w:val="center"/>
        <w:rPr>
          <w:b/>
        </w:rPr>
      </w:pPr>
      <w:r>
        <w:rPr>
          <w:b/>
        </w:rPr>
        <w:t>SCHEDULE 5.03(d)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VOTING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1.</w:t>
        <w:tab/>
        <w:t>TBG Shareholders' Agreement for Funding and Other Covenants dated December 19, 1997 among Transportadora Brasileira Gasoduto Bolivia-Brasil S.A., Petrobras Fertilizantes S.A., BBPP Holdings Ltda., Transredes-Transporte de Hidrocarburos S.A., Shell Gas (Latin America), B.V., and Enron (Bolivia) C.V.</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2.</w:t>
        <w:tab/>
        <w:t>Joint Venture and Shareholders' Agreement between Yacimiento Petroliferos Fiscales Bolivianos and Enron (Bolivia) C.V. dated March 21, 1997.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3.</w:t>
        <w:tab/>
        <w:t>BBPP Transfer Agreement dated December 4, 1996 among Enron (Bolivia) C.V., Enron Transportadora (Bolivia) S.A., and Shell Overseas Holdings Limited, as amended.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4.</w:t>
        <w:tab/>
        <w:t>Shareholders Agreement dated December 4, 1996 between Enron Transportadora (Bolivia) S.A. and Shell Overseas Holdings Limited, as amended.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5.04(b)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INTELLECTUAL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[To be provided by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5.06(a)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AUTHORIZATIONS FOR DEVELOPED BUSINESSES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u w:val="single"/>
        </w:rPr>
      </w:pPr>
      <w:r>
        <w:rPr/>
        <w:t>Actions, proceedings or investigations regarding Authorizations: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t>1.</w:t>
        <w:tab/>
        <w:t>Enersil (an Enron marketing company in Brazil) filed a dispute against TBG with ANP contesting the tariff charged by TBG for interruptible service as excessive.  ANP is acting as arbitrator of this dispute.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5.07(b)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REGULATING GOVERNMENTAL AUTHORITY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lang w:eastAsia="en-US"/>
        </w:rPr>
      </w:pPr>
      <w:r>
        <w:rPr>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lang w:eastAsia="en-US"/>
        </w:rPr>
      </w:pPr>
      <w:r>
        <w:rPr>
          <w:lang w:eastAsia="en-US"/>
        </w:rPr>
        <w:tab/>
        <w:t>This Schedule sets forth the Governmental Authorities which regulate the material products or services sold or provided by, or the material supplies purchase by, the Business: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lang w:eastAsia="en-US"/>
        </w:rPr>
      </w:pPr>
      <w:r>
        <w:rPr>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lang w:eastAsia="en-US"/>
        </w:rPr>
      </w:pPr>
      <w:r>
        <w:rPr>
          <w:lang w:eastAsia="en-US"/>
        </w:rPr>
        <w:tab/>
        <w:t>ANP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INSURANCE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 list, including the name of the underwriter, the risks insured, coverage and related limits and deductibles, expiration dates and significant riders, of the principal insurance policies currently maintained by the Subject Companies and their Subsidiaries and Operating Companies (other than insurance policies maintained by or through the Parent Company Group).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tbl>
      <w:tblPr>
        <w:tblW w:w="9360" w:type="dxa"/>
        <w:jc w:val="center"/>
        <w:tblInd w:w="0" w:type="dxa"/>
        <w:tblLayout w:type="fixed"/>
        <w:tblCellMar>
          <w:top w:w="0" w:type="dxa"/>
          <w:start w:w="100" w:type="dxa"/>
          <w:bottom w:w="0" w:type="dxa"/>
          <w:end w:w="100" w:type="dxa"/>
        </w:tblCellMar>
      </w:tblPr>
      <w:tblGrid>
        <w:gridCol w:w="1560"/>
        <w:gridCol w:w="1560"/>
        <w:gridCol w:w="1560"/>
        <w:gridCol w:w="1560"/>
        <w:gridCol w:w="1560"/>
        <w:gridCol w:w="1560"/>
      </w:tblGrid>
      <w:tr>
        <w:trPr>
          <w:trHeight w:val="403" w:hRule="atLeast"/>
        </w:trPr>
        <w:tc>
          <w:tcPr>
            <w:tcW w:w="1560" w:type="dxa"/>
            <w:tcBorders>
              <w:top w:val="single" w:sz="6" w:space="0" w:color="000000"/>
              <w:start w:val="single" w:sz="6" w:space="0" w:color="000000"/>
            </w:tcBorders>
          </w:tcPr>
          <w:p>
            <w:pPr>
              <w:pStyle w:val="Normal"/>
              <w:snapToGrid w:val="false"/>
              <w:jc w:val="center"/>
              <w:rPr>
                <w:b/>
                <w:u w:val="single"/>
              </w:rPr>
            </w:pPr>
            <w:r>
              <w:rPr>
                <w:b/>
                <w:u w:val="single"/>
              </w:rPr>
            </w:r>
          </w:p>
          <w:p>
            <w:pPr>
              <w:pStyle w:val="Normal"/>
              <w:jc w:val="center"/>
              <w:rPr>
                <w:b/>
                <w:u w:val="single"/>
              </w:rPr>
            </w:pPr>
            <w:r>
              <w:rPr>
                <w:b/>
                <w:u w:val="single"/>
              </w:rPr>
              <w:t>Underwriter</w:t>
            </w:r>
          </w:p>
        </w:tc>
        <w:tc>
          <w:tcPr>
            <w:tcW w:w="1560" w:type="dxa"/>
            <w:tcBorders>
              <w:top w:val="single" w:sz="6" w:space="0" w:color="000000"/>
              <w:start w:val="single" w:sz="6" w:space="0" w:color="000000"/>
            </w:tcBorders>
          </w:tcPr>
          <w:p>
            <w:pPr>
              <w:pStyle w:val="Normal"/>
              <w:snapToGrid w:val="false"/>
              <w:jc w:val="center"/>
              <w:rPr>
                <w:b/>
                <w:u w:val="single"/>
              </w:rPr>
            </w:pPr>
            <w:r>
              <w:rPr>
                <w:b/>
                <w:u w:val="single"/>
              </w:rPr>
            </w:r>
          </w:p>
          <w:p>
            <w:pPr>
              <w:pStyle w:val="Normal"/>
              <w:jc w:val="center"/>
              <w:rPr>
                <w:b/>
                <w:u w:val="single"/>
              </w:rPr>
            </w:pPr>
            <w:r>
              <w:rPr>
                <w:b/>
                <w:u w:val="single"/>
              </w:rPr>
              <w:t>Risks</w:t>
            </w:r>
          </w:p>
        </w:tc>
        <w:tc>
          <w:tcPr>
            <w:tcW w:w="1560" w:type="dxa"/>
            <w:tcBorders>
              <w:top w:val="single" w:sz="6" w:space="0" w:color="000000"/>
              <w:start w:val="single" w:sz="6" w:space="0" w:color="000000"/>
            </w:tcBorders>
          </w:tcPr>
          <w:p>
            <w:pPr>
              <w:pStyle w:val="Normal"/>
              <w:snapToGrid w:val="false"/>
              <w:jc w:val="center"/>
              <w:rPr>
                <w:b/>
                <w:u w:val="single"/>
              </w:rPr>
            </w:pPr>
            <w:r>
              <w:rPr>
                <w:b/>
                <w:u w:val="single"/>
              </w:rPr>
            </w:r>
          </w:p>
          <w:p>
            <w:pPr>
              <w:pStyle w:val="Normal"/>
              <w:jc w:val="center"/>
              <w:rPr>
                <w:b/>
                <w:u w:val="single"/>
              </w:rPr>
            </w:pPr>
            <w:r>
              <w:rPr>
                <w:b/>
                <w:u w:val="single"/>
              </w:rPr>
              <w:t>Coverage</w:t>
            </w:r>
          </w:p>
        </w:tc>
        <w:tc>
          <w:tcPr>
            <w:tcW w:w="1560" w:type="dxa"/>
            <w:tcBorders>
              <w:top w:val="single" w:sz="6" w:space="0" w:color="000000"/>
              <w:start w:val="single" w:sz="6" w:space="0" w:color="000000"/>
            </w:tcBorders>
          </w:tcPr>
          <w:p>
            <w:pPr>
              <w:pStyle w:val="Normal"/>
              <w:jc w:val="center"/>
              <w:rPr>
                <w:b/>
                <w:u w:val="single"/>
              </w:rPr>
            </w:pPr>
            <w:r>
              <w:rPr>
                <w:b/>
                <w:u w:val="single"/>
              </w:rPr>
              <w:t>Limits and Deductibles</w:t>
            </w:r>
          </w:p>
        </w:tc>
        <w:tc>
          <w:tcPr>
            <w:tcW w:w="1560" w:type="dxa"/>
            <w:tcBorders>
              <w:top w:val="single" w:sz="6" w:space="0" w:color="000000"/>
              <w:start w:val="single" w:sz="6" w:space="0" w:color="000000"/>
            </w:tcBorders>
          </w:tcPr>
          <w:p>
            <w:pPr>
              <w:pStyle w:val="Normal"/>
              <w:jc w:val="center"/>
              <w:rPr>
                <w:b/>
                <w:u w:val="single"/>
              </w:rPr>
            </w:pPr>
            <w:r>
              <w:rPr>
                <w:b/>
                <w:u w:val="single"/>
              </w:rPr>
              <w:t>Expiration Dates</w:t>
            </w:r>
          </w:p>
        </w:tc>
        <w:tc>
          <w:tcPr>
            <w:tcW w:w="1560" w:type="dxa"/>
            <w:tcBorders>
              <w:top w:val="single" w:sz="6" w:space="0" w:color="000000"/>
              <w:start w:val="single" w:sz="6" w:space="0" w:color="000000"/>
              <w:end w:val="single" w:sz="6" w:space="0" w:color="000000"/>
            </w:tcBorders>
          </w:tcPr>
          <w:p>
            <w:pPr>
              <w:pStyle w:val="Normal"/>
              <w:jc w:val="center"/>
              <w:rPr>
                <w:b/>
                <w:u w:val="single"/>
              </w:rPr>
            </w:pPr>
            <w:r>
              <w:rPr>
                <w:b/>
                <w:u w:val="single"/>
              </w:rPr>
              <w:t>Significant Riders</w:t>
            </w:r>
          </w:p>
        </w:tc>
      </w:tr>
      <w:tr>
        <w:trPr>
          <w:trHeight w:val="1155" w:hRule="atLeast"/>
        </w:trPr>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vAlign w:val="center"/>
          </w:tcPr>
          <w:p>
            <w:pPr>
              <w:pStyle w:val="Normal"/>
              <w:rPr/>
            </w:pPr>
            <w:r>
              <w:rPr/>
              <w:t>Builders Risk</w:t>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vAlign w:val="center"/>
          </w:tcPr>
          <w:p>
            <w:pPr>
              <w:pStyle w:val="Normal"/>
              <w:rPr/>
            </w:pPr>
            <w:r>
              <w:rPr/>
              <w:t>During Construction</w:t>
            </w:r>
          </w:p>
        </w:tc>
        <w:tc>
          <w:tcPr>
            <w:tcW w:w="15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vAlign w:val="center"/>
          </w:tcPr>
          <w:p>
            <w:pPr>
              <w:pStyle w:val="Normal"/>
              <w:rPr/>
            </w:pPr>
            <w:r>
              <w:rPr/>
              <w:t>All-Risk Casualty</w:t>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vAlign w:val="center"/>
          </w:tcPr>
          <w:p>
            <w:pPr>
              <w:pStyle w:val="Normal"/>
              <w:rPr/>
            </w:pPr>
            <w:r>
              <w:rPr/>
              <w:t>TCO Term</w:t>
            </w:r>
          </w:p>
        </w:tc>
        <w:tc>
          <w:tcPr>
            <w:tcW w:w="1560" w:type="dxa"/>
            <w:tcBorders>
              <w:top w:val="single" w:sz="6" w:space="0" w:color="000000"/>
              <w:start w:val="single" w:sz="6" w:space="0" w:color="000000"/>
              <w:end w:val="single" w:sz="6" w:space="0" w:color="000000"/>
            </w:tcBorders>
            <w:vAlign w:val="center"/>
          </w:tcPr>
          <w:p>
            <w:pPr>
              <w:pStyle w:val="Normal"/>
              <w:rPr/>
            </w:pPr>
            <w:r>
              <w:rPr/>
              <w:t>PB named as additional insured</w:t>
            </w:r>
          </w:p>
        </w:tc>
      </w:tr>
      <w:tr>
        <w:trPr>
          <w:trHeight w:val="403" w:hRule="atLeast"/>
        </w:trPr>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vAlign w:val="center"/>
          </w:tcPr>
          <w:p>
            <w:pPr>
              <w:pStyle w:val="Normal"/>
              <w:rPr/>
            </w:pPr>
            <w:r>
              <w:rPr/>
              <w:t>Pressure Vessel</w:t>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vAlign w:val="center"/>
          </w:tcPr>
          <w:p>
            <w:pPr>
              <w:pStyle w:val="Normal"/>
              <w:rPr/>
            </w:pPr>
            <w:r>
              <w:rPr/>
              <w:t>TCO Term</w:t>
            </w:r>
          </w:p>
        </w:tc>
        <w:tc>
          <w:tcPr>
            <w:tcW w:w="15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560" w:type="dxa"/>
            <w:tcBorders>
              <w:top w:val="single" w:sz="6" w:space="0" w:color="000000"/>
              <w:start w:val="single" w:sz="6" w:space="0" w:color="000000"/>
              <w:bottom w:val="single" w:sz="4" w:space="0" w:color="000000"/>
            </w:tcBorders>
          </w:tcPr>
          <w:p>
            <w:pPr>
              <w:pStyle w:val="Normal"/>
              <w:snapToGrid w:val="false"/>
              <w:rPr/>
            </w:pPr>
            <w:r>
              <w:rPr/>
            </w:r>
          </w:p>
        </w:tc>
        <w:tc>
          <w:tcPr>
            <w:tcW w:w="1560" w:type="dxa"/>
            <w:tcBorders>
              <w:top w:val="single" w:sz="6" w:space="0" w:color="000000"/>
              <w:start w:val="single" w:sz="6" w:space="0" w:color="000000"/>
              <w:bottom w:val="single" w:sz="4" w:space="0" w:color="000000"/>
            </w:tcBorders>
            <w:vAlign w:val="center"/>
          </w:tcPr>
          <w:p>
            <w:pPr>
              <w:pStyle w:val="Normal"/>
              <w:rPr/>
            </w:pPr>
            <w:r>
              <w:rPr/>
              <w:t>Business Interruption</w:t>
            </w:r>
          </w:p>
        </w:tc>
        <w:tc>
          <w:tcPr>
            <w:tcW w:w="1560" w:type="dxa"/>
            <w:tcBorders>
              <w:top w:val="single" w:sz="6" w:space="0" w:color="000000"/>
              <w:start w:val="single" w:sz="6" w:space="0" w:color="000000"/>
              <w:bottom w:val="single" w:sz="4" w:space="0" w:color="000000"/>
            </w:tcBorders>
          </w:tcPr>
          <w:p>
            <w:pPr>
              <w:pStyle w:val="Normal"/>
              <w:snapToGrid w:val="false"/>
              <w:rPr/>
            </w:pPr>
            <w:r>
              <w:rPr/>
            </w:r>
          </w:p>
        </w:tc>
        <w:tc>
          <w:tcPr>
            <w:tcW w:w="1560" w:type="dxa"/>
            <w:tcBorders>
              <w:top w:val="single" w:sz="6" w:space="0" w:color="000000"/>
              <w:start w:val="single" w:sz="6" w:space="0" w:color="000000"/>
              <w:bottom w:val="single" w:sz="4" w:space="0" w:color="000000"/>
            </w:tcBorders>
          </w:tcPr>
          <w:p>
            <w:pPr>
              <w:pStyle w:val="Normal"/>
              <w:snapToGrid w:val="false"/>
              <w:rPr/>
            </w:pPr>
            <w:r>
              <w:rPr/>
            </w:r>
          </w:p>
        </w:tc>
        <w:tc>
          <w:tcPr>
            <w:tcW w:w="1560" w:type="dxa"/>
            <w:tcBorders>
              <w:top w:val="single" w:sz="6" w:space="0" w:color="000000"/>
              <w:start w:val="single" w:sz="6" w:space="0" w:color="000000"/>
              <w:bottom w:val="single" w:sz="4" w:space="0" w:color="000000"/>
            </w:tcBorders>
            <w:vAlign w:val="center"/>
          </w:tcPr>
          <w:p>
            <w:pPr>
              <w:pStyle w:val="Normal"/>
              <w:rPr/>
            </w:pPr>
            <w:r>
              <w:rPr/>
              <w:t xml:space="preserve">TCO Term </w:t>
            </w:r>
          </w:p>
        </w:tc>
        <w:tc>
          <w:tcPr>
            <w:tcW w:w="1560"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r>
        <w:rPr>
          <w:b/>
        </w:rPr>
        <w:t>[The Company noted the above-listed insurance coverage required under the Transportation Agreements.  Company reports having no information on coverage and premiums, but noted that in accordance with the TCQ, TCO and TCX Transportation Agreements, an aggregate annual premium of $7,000,000 (1991 dollars, including Builders Risk) was estimated.  Per latest version of TBG Model, only $522,000 spent in 1999.  Company to provide information required to complete the above chart.]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[No additional information held by Enron.  Any additional information can only be gained from TBG directly.  Otherwise, TBG is reported to be complying with its insurance obligations under the Transportation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5.10(a)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PRINCIPAL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(OTHER THAN RELATED PARTY CONTRACT AND SURETYSHIP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 xml:space="preserve">See the Index to Documents, a copy of which is attached to this Schedule, contained in the Data Room relating to the transactions contemplated by the Agreement.  All Principal Contracts are listed among the contracts and agreements therein listed (other than the Related Party Contracts and Suretyship Arrangements, which are listed on Schedules 7.05 and 5.10(b) respectively to this Parent Disclosure Letter) and are hereby incorporated herein by this reference.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r>
        <w:rPr>
          <w:b/>
        </w:rPr>
        <w:t>[Nancy Muchmore received documents which must be included in data room.]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w:t>
        <w:tab/>
        <w:t>The balance of this Schedule 5.10(a) sets forth a list of each Principal Contract, other than any Related Party Contract or Suretyship Arrangement, with respect to which a party thereto may be in default in the performance of such Principal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t>None.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5.10(b))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SURETYSHIP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 list of all Suretyship Arrangements and identifies the surety in such arrangement, whether that be the Parent or a Retained Subsidiary: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ENVIRONMENTAL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qualifications of the representation and warranty contained in subsection 5.12 of the Agreement relating to environmental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None.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qualifications of the representation and warranty contained in Section 5.13 of the Agreement relating to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None.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5.14(b)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MATERIAL ADVERSE CHANGES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1.</w:t>
        <w:tab/>
        <w:t xml:space="preserve">Petrobras and TBG are renegotiating the ramp-up volumes for the TCQ, TCO and TCX Transportation Agreements.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2.</w:t>
        <w:tab/>
        <w:t>The implementation of the ramp-up is expected to cause a debt service reserve shortfall through 2001-2002.  Petrobras has agreed to provide a $40 million guaranty as a TCX prepayment in the event the “Debt Service Coverage Ratio” falls below 1.2, the minimum requirement for the PCG Bonds (defined in disclosure #3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3.</w:t>
        <w:tab/>
        <w:t xml:space="preserve">TBG plans to issue Partial Credit Guarantee Bonds ("PCG Bonds").  The issuance of PCG Bonds has been delayed due to the renegotiation of the ramp-up volumes under the TCQ, TCO, and TCX Transportation Agreements.  A $13 million advisory fee will be paid to Credit Suisse First Boston.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4.</w:t>
        <w:tab/>
        <w:t xml:space="preserve">A determination whether TBG can be considered a US-Dollar based company has not been made.  </w:t>
      </w:r>
      <w:r>
        <w:rPr>
          <w:b/>
        </w:rPr>
        <w:t>[Need to discuss if or how this will change current accounting practices, etc.]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b/>
        </w:rPr>
      </w:pPr>
      <w:r>
        <w:rPr>
          <w:b/>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b/>
        </w:rPr>
      </w:pPr>
      <w:r>
        <w:rPr>
          <w:b/>
        </w:rPr>
      </w:r>
    </w:p>
    <w:p>
      <w:pPr>
        <w:pStyle w:val="Normal"/>
        <w:ind w:hanging="720" w:start="720" w:end="0"/>
        <w:jc w:val="center"/>
        <w:rPr>
          <w:b/>
        </w:rPr>
      </w:pPr>
      <w:r>
        <w:rPr>
          <w:b/>
        </w:rPr>
        <w:t>SCHEDULE 7.02(b)(xi)</w:t>
      </w:r>
    </w:p>
    <w:p>
      <w:pPr>
        <w:pStyle w:val="Normal"/>
        <w:ind w:hanging="720" w:start="720" w:end="0"/>
        <w:jc w:val="center"/>
        <w:rPr>
          <w:b/>
        </w:rPr>
      </w:pPr>
      <w:r>
        <w:rPr>
          <w:b/>
        </w:rPr>
      </w:r>
    </w:p>
    <w:p>
      <w:pPr>
        <w:pStyle w:val="Normal"/>
        <w:ind w:hanging="720" w:start="720" w:end="0"/>
        <w:jc w:val="center"/>
        <w:rPr>
          <w:b/>
        </w:rPr>
      </w:pPr>
      <w:r>
        <w:rPr>
          <w:b/>
        </w:rPr>
        <w:t>OBLIGATIONS FOR BORROWED MONEY</w:t>
      </w:r>
    </w:p>
    <w:p>
      <w:pPr>
        <w:pStyle w:val="Normal"/>
        <w:ind w:hanging="720" w:start="720" w:end="0"/>
        <w:rPr/>
      </w:pPr>
      <w:r>
        <w:rPr/>
      </w:r>
    </w:p>
    <w:p>
      <w:pPr>
        <w:pStyle w:val="Normal"/>
        <w:ind w:hanging="720" w:start="720" w:end="0"/>
        <w:rPr/>
      </w:pPr>
      <w:r>
        <w:rPr/>
      </w:r>
    </w:p>
    <w:p>
      <w:pPr>
        <w:pStyle w:val="Normal"/>
        <w:ind w:hanging="720" w:start="720" w:end="0"/>
        <w:rPr/>
      </w:pPr>
      <w:r>
        <w:rPr/>
        <w:t>1.</w:t>
        <w:tab/>
        <w:t>TBG plans to issue Partial Credit Guarantee Bonds ("PCG Bonds").  The issuance of PCG Bonds has been delayed due to the renegotiation of the ramp-up volumes under the TCQ, TCO, and TCX Transportation Agreements.  A $13 million advisory fee will be paid to Credit Suisse First Boston.</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776"/>
          <w:pgNumType w:fmt="decimal"/>
          <w:formProt w:val="false"/>
          <w:textDirection w:val="lrTb"/>
          <w:docGrid w:type="default" w:linePitch="360" w:charSpace="0"/>
        </w:sect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jc w:val="center"/>
        <w:rPr>
          <w:b/>
        </w:rPr>
      </w:pPr>
      <w:r>
        <w:rPr>
          <w:b/>
        </w:rPr>
        <w:t>SCHEDULE 7.02(d)</w:t>
      </w:r>
    </w:p>
    <w:p>
      <w:pPr>
        <w:pStyle w:val="Normal"/>
        <w:ind w:hanging="720" w:start="720" w:end="0"/>
        <w:jc w:val="center"/>
        <w:rPr>
          <w:b/>
        </w:rPr>
      </w:pPr>
      <w:r>
        <w:rPr>
          <w:b/>
        </w:rPr>
      </w:r>
    </w:p>
    <w:p>
      <w:pPr>
        <w:pStyle w:val="Normal"/>
        <w:ind w:hanging="720" w:start="720" w:end="0"/>
        <w:jc w:val="center"/>
        <w:rPr>
          <w:b/>
        </w:rPr>
      </w:pPr>
      <w:r>
        <w:rPr>
          <w:b/>
        </w:rPr>
        <w:t xml:space="preserve">CAPITAL BUDGET </w:t>
      </w:r>
    </w:p>
    <w:p>
      <w:pPr>
        <w:pStyle w:val="Normal"/>
        <w:ind w:hanging="720" w:start="720" w:end="0"/>
        <w:jc w:val="center"/>
        <w:rPr>
          <w:b/>
        </w:rPr>
      </w:pPr>
      <w:r>
        <w:rPr>
          <w:b/>
        </w:rPr>
      </w:r>
    </w:p>
    <w:p>
      <w:pPr>
        <w:pStyle w:val="Normal"/>
        <w:ind w:hanging="720" w:start="720" w:end="0"/>
        <w:jc w:val="start"/>
        <w:rPr>
          <w:b/>
        </w:rPr>
      </w:pPr>
      <w:r>
        <w:rPr>
          <w:b/>
        </w:rPr>
        <w:t>TBG Capital Expenditures Budget (US$ 000s)</w:t>
      </w:r>
    </w:p>
    <w:p>
      <w:pPr>
        <w:pStyle w:val="Normal"/>
        <w:ind w:hanging="720" w:start="720" w:end="0"/>
        <w:jc w:val="start"/>
        <w:rPr>
          <w:b/>
        </w:rPr>
      </w:pPr>
      <w:r>
        <w:rPr>
          <w:b/>
        </w:rPr>
      </w:r>
    </w:p>
    <w:tbl>
      <w:tblPr>
        <w:tblW w:w="13896" w:type="dxa"/>
        <w:jc w:val="start"/>
        <w:tblInd w:w="0" w:type="dxa"/>
        <w:tblLayout w:type="fixed"/>
        <w:tblCellMar>
          <w:top w:w="0" w:type="dxa"/>
          <w:start w:w="108" w:type="dxa"/>
          <w:bottom w:w="0" w:type="dxa"/>
          <w:end w:w="108" w:type="dxa"/>
        </w:tblCellMar>
      </w:tblPr>
      <w:tblGrid>
        <w:gridCol w:w="2268"/>
        <w:gridCol w:w="900"/>
        <w:gridCol w:w="990"/>
        <w:gridCol w:w="1080"/>
        <w:gridCol w:w="1080"/>
        <w:gridCol w:w="1080"/>
        <w:gridCol w:w="1080"/>
        <w:gridCol w:w="1080"/>
        <w:gridCol w:w="1080"/>
        <w:gridCol w:w="1080"/>
        <w:gridCol w:w="1080"/>
        <w:gridCol w:w="1098"/>
      </w:tblGrid>
      <w:tr>
        <w:trPr/>
        <w:tc>
          <w:tcPr>
            <w:tcW w:w="2268" w:type="dxa"/>
            <w:tcBorders>
              <w:bottom w:val="single" w:sz="4" w:space="0" w:color="000000"/>
              <w:end w:val="single" w:sz="4" w:space="0" w:color="000000"/>
            </w:tcBorders>
          </w:tcPr>
          <w:p>
            <w:pPr>
              <w:pStyle w:val="Normal"/>
              <w:snapToGrid w:val="false"/>
              <w:rPr>
                <w:sz w:val="20"/>
              </w:rPr>
            </w:pPr>
            <w:r>
              <w:rPr>
                <w:sz w:val="20"/>
              </w:rPr>
            </w:r>
          </w:p>
        </w:tc>
        <w:tc>
          <w:tcPr>
            <w:tcW w:w="900" w:type="dxa"/>
            <w:tcBorders>
              <w:top w:val="single" w:sz="4" w:space="0" w:color="000000"/>
              <w:bottom w:val="single" w:sz="4" w:space="0" w:color="000000"/>
              <w:end w:val="single" w:sz="4" w:space="0" w:color="000000"/>
            </w:tcBorders>
          </w:tcPr>
          <w:p>
            <w:pPr>
              <w:pStyle w:val="Normal"/>
              <w:jc w:val="end"/>
              <w:rPr>
                <w:sz w:val="20"/>
              </w:rPr>
            </w:pPr>
            <w:r>
              <w:rPr>
                <w:sz w:val="20"/>
              </w:rPr>
              <w:t>2000</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2002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2003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2004</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2005</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2006</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2007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2008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2009</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2010</w:t>
            </w:r>
          </w:p>
        </w:tc>
      </w:tr>
      <w:tr>
        <w:trPr/>
        <w:tc>
          <w:tcPr>
            <w:tcW w:w="2268" w:type="dxa"/>
            <w:tcBorders>
              <w:start w:val="single" w:sz="4" w:space="0" w:color="000000"/>
              <w:bottom w:val="single" w:sz="4" w:space="0" w:color="000000"/>
              <w:end w:val="single" w:sz="4" w:space="0" w:color="000000"/>
            </w:tcBorders>
          </w:tcPr>
          <w:p>
            <w:pPr>
              <w:pStyle w:val="Normal"/>
              <w:rPr>
                <w:sz w:val="20"/>
              </w:rPr>
            </w:pPr>
            <w:r>
              <w:rPr>
                <w:sz w:val="20"/>
              </w:rPr>
              <w:t xml:space="preserve">Office Equipment and </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569</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249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610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569</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Operacional Machinery and</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429</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58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270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429</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Information</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938</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1,523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2,290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938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1,523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2,290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938</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Phase 3</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45,400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38,842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Phase 4</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71,387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69,017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r>
      <w:tr>
        <w:trPr/>
        <w:tc>
          <w:tcPr>
            <w:tcW w:w="13896" w:type="dxa"/>
            <w:gridSpan w:val="12"/>
            <w:tcBorders>
              <w:top w:val="single" w:sz="4" w:space="0" w:color="000000"/>
              <w:start w:val="single" w:sz="4" w:space="0" w:color="000000"/>
              <w:bottom w:val="single" w:sz="4" w:space="0" w:color="000000"/>
              <w:end w:val="single" w:sz="4" w:space="0" w:color="000000"/>
            </w:tcBorders>
          </w:tcPr>
          <w:p>
            <w:pPr>
              <w:pStyle w:val="Normal"/>
              <w:jc w:val="start"/>
              <w:rPr>
                <w:sz w:val="20"/>
              </w:rPr>
            </w:pPr>
            <w:r>
              <w:rPr>
                <w:b/>
                <w:sz w:val="20"/>
              </w:rPr>
              <w:t>CONSTRUCTION</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Materials</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4,139</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Construction</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26,506</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Valves</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258</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City</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3,338</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Compression - Phase 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1,112</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SCAD</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430</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Environment</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9,243</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Miscellaneous</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731</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Contingency and</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34,116</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r>
      <w:tr>
        <w:trPr/>
        <w:tc>
          <w:tcPr>
            <w:tcW w:w="13896" w:type="dxa"/>
            <w:gridSpan w:val="12"/>
            <w:tcBorders>
              <w:top w:val="single" w:sz="4" w:space="0" w:color="000000"/>
              <w:start w:val="single" w:sz="4" w:space="0" w:color="000000"/>
              <w:bottom w:val="single" w:sz="4" w:space="0" w:color="000000"/>
              <w:end w:val="single" w:sz="4" w:space="0" w:color="000000"/>
            </w:tcBorders>
          </w:tcPr>
          <w:p>
            <w:pPr>
              <w:pStyle w:val="Normal"/>
              <w:jc w:val="start"/>
              <w:rPr>
                <w:b/>
                <w:sz w:val="20"/>
              </w:rPr>
            </w:pPr>
            <w:r>
              <w:rPr>
                <w:b/>
                <w:sz w:val="20"/>
              </w:rPr>
              <w:t>SOFT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PCG Bond Up-Front</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3,600</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Development</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66,211</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Interest During</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20,409</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0"/>
              </w:rPr>
            </w:pPr>
            <w:r>
              <w:rPr>
                <w:sz w:val="20"/>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TOTAL</w:t>
            </w:r>
          </w:p>
        </w:tc>
        <w:tc>
          <w:tcPr>
            <w:tcW w:w="90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172,029</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45,400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110,229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70,540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2,290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938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1,830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3,170</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20"/>
              </w:rPr>
            </w:pPr>
            <w:r>
              <w:rPr>
                <w:sz w:val="20"/>
              </w:rPr>
              <w:t>1,936</w:t>
            </w:r>
          </w:p>
        </w:tc>
      </w:tr>
    </w:tbl>
    <w:p>
      <w:pPr>
        <w:pStyle w:val="Normal"/>
        <w:ind w:hanging="720" w:start="720" w:end="0"/>
        <w:rPr>
          <w:sz w:val="20"/>
        </w:rPr>
      </w:pPr>
      <w:r>
        <w:rPr>
          <w:sz w:val="20"/>
        </w:rPr>
      </w:r>
    </w:p>
    <w:sectPr>
      <w:headerReference w:type="default" r:id="rId12"/>
      <w:headerReference w:type="first" r:id="rId13"/>
      <w:footerReference w:type="default" r:id="rId14"/>
      <w:footerReference w:type="first" r:id="rId15"/>
      <w:type w:val="nextPage"/>
      <w:pgSz w:orient="landscape" w:w="15840" w:h="12240"/>
      <w:pgMar w:left="72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Houston:284526 v 1</w:t>
    </w:r>
  </w:p>
  <w:p>
    <w:pPr>
      <w:pStyle w:val="Footer"/>
      <w:rPr>
        <w:sz w:val="16"/>
      </w:rPr>
    </w:pPr>
    <w:r>
      <w:rPr>
        <w:sz w:val="16"/>
      </w:rPr>
      <w:t>Summer - TBG</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Houston:284526 v 1</w:t>
    </w:r>
  </w:p>
  <w:p>
    <w:pPr>
      <w:pStyle w:val="Footer"/>
      <w:rPr>
        <w:sz w:val="16"/>
      </w:rPr>
    </w:pPr>
    <w:r>
      <w:rPr>
        <w:sz w:val="16"/>
      </w:rPr>
      <w:t>Summer - TBG</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Houston:284526 v 1</w:t>
    </w:r>
  </w:p>
  <w:p>
    <w:pPr>
      <w:pStyle w:val="Footer"/>
      <w:rPr>
        <w:sz w:val="16"/>
      </w:rPr>
    </w:pPr>
    <w:r>
      <w:rPr>
        <w:sz w:val="16"/>
      </w:rPr>
      <w:t>Summer - TBG</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Houston:284526 v 1</w:t>
    </w:r>
  </w:p>
  <w:p>
    <w:pPr>
      <w:pStyle w:val="Footer"/>
      <w:rPr>
        <w:sz w:val="16"/>
      </w:rPr>
    </w:pPr>
    <w:r>
      <w:rPr>
        <w:sz w:val="16"/>
      </w:rPr>
      <w:t>Summer - TBG</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TBG Draft</w:t>
    </w:r>
  </w:p>
  <w:p>
    <w:pPr>
      <w:pStyle w:val="Header"/>
      <w:jc w:val="end"/>
      <w:rPr>
        <w:b/>
      </w:rPr>
    </w:pPr>
    <w:r>
      <w:rPr>
        <w:b/>
      </w:rPr>
      <w:t>July 31, 2000</w:t>
    </w:r>
  </w:p>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TBG Draft</w:t>
    </w:r>
  </w:p>
  <w:p>
    <w:pPr>
      <w:pStyle w:val="Header"/>
      <w:jc w:val="end"/>
      <w:rPr>
        <w:b/>
      </w:rPr>
    </w:pPr>
    <w:r>
      <w:rPr>
        <w:b/>
      </w:rPr>
      <w:t>July 31, 2000</w:t>
    </w:r>
  </w:p>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TBG Draft</w:t>
    </w:r>
  </w:p>
  <w:p>
    <w:pPr>
      <w:pStyle w:val="Header"/>
      <w:jc w:val="end"/>
      <w:rPr>
        <w:b/>
      </w:rPr>
    </w:pPr>
    <w:r>
      <w:rPr>
        <w:b/>
      </w:rPr>
      <w:t>July 31, 2000</w:t>
    </w:r>
  </w:p>
  <w:p>
    <w:pPr>
      <w:pStyle w:val="Header"/>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TBG Draft</w:t>
    </w:r>
  </w:p>
  <w:p>
    <w:pPr>
      <w:pStyle w:val="Header"/>
      <w:jc w:val="end"/>
      <w:rPr>
        <w:b/>
      </w:rPr>
    </w:pPr>
    <w:r>
      <w:rPr>
        <w:b/>
      </w:rPr>
      <w:t>July 31, 2000</w:t>
    </w:r>
  </w:p>
  <w:p>
    <w:pPr>
      <w:pStyle w:val="Header"/>
      <w:jc w:val="end"/>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2000-07-31T23:18:00Z</dcterms:created>
  <dc:creator>Vinson &amp; Elkins L.L.P.</dc:creator>
  <dc:description/>
  <dc:language>en-CA</dc:language>
  <cp:lastModifiedBy>Linda S. DiFeo</cp:lastModifiedBy>
  <cp:lastPrinted>2000-07-31T20:48:00Z</cp:lastPrinted>
  <dcterms:modified xsi:type="dcterms:W3CDTF">2000-07-31T23:18:00Z</dcterms:modified>
  <cp:revision>2</cp:revision>
  <dc:subject/>
  <dc:title>SCHEDULE 4</dc:title>
</cp:coreProperties>
</file>