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SUBJECT COMPANIES,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rPr/>
      </w:pPr>
      <w:r>
        <w:rPr/>
        <w:tab/>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the aggregate ordinary voting power of all outstanding Equity Securities of such legal entity) of the direct or indirect equity investment of the Parent (and, if different, the economic interest) in each such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r>
      <w:r>
        <w:rPr>
          <w:u w:val="single"/>
        </w:rPr>
        <w:t>Subject Company</w:t>
      </w:r>
      <w:r>
        <w:rPr/>
        <w:t>:   Enron Global Power &amp; Pipelines L.L.C., a Delaware limited liability company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r>
      <w:r>
        <w:rPr>
          <w:u w:val="single"/>
        </w:rPr>
        <w:t>Subsidiaries</w:t>
      </w:r>
      <w:r>
        <w:rPr/>
        <w:t xml:space="preserve">:  Bolivia Holdings Ltd., a Cayman Islands Corporation (100%).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 xml:space="preserve">Enron Reserve 7 BV, a Netherlands </w:t>
      </w:r>
      <w:r>
        <w:rPr>
          <w:b/>
        </w:rPr>
        <w:t>[sociedade anônima]</w:t>
      </w:r>
      <w:r>
        <w:rPr/>
        <w:t xml:space="preserve">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Enron (Bolivia) C.V., a Netherlands partnership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b/>
      </w:r>
      <w:r>
        <w:rPr>
          <w:u w:val="single"/>
        </w:rPr>
        <w:t>Operating Company</w:t>
      </w:r>
      <w:r>
        <w:rPr/>
        <w:t>:  Gas TransBoliviano S.A., a Bolivian _________ (17%, with an additional indirect 12.75% held through Transredes).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owned directly or indirectly by the Parent, in each case as of the date of the Agreement:</w:t>
      </w:r>
    </w:p>
    <w:p>
      <w:pPr>
        <w:pStyle w:val="Normal"/>
        <w:rPr/>
      </w:pPr>
      <w:r>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440" w:type="dxa"/>
            <w:tcBorders>
              <w:top w:val="single" w:sz="6" w:space="0" w:color="000000"/>
              <w:start w:val="single" w:sz="6" w:space="0" w:color="000000"/>
            </w:tcBorders>
          </w:tcPr>
          <w:p>
            <w:pPr>
              <w:pStyle w:val="Normal"/>
              <w:rPr>
                <w:b/>
              </w:rPr>
            </w:pPr>
            <w:r>
              <w:rPr>
                <w:b/>
              </w:rPr>
              <w:t>Equity Securities</w:t>
            </w:r>
          </w:p>
          <w:p>
            <w:pPr>
              <w:pStyle w:val="Normal"/>
              <w:rPr>
                <w:b/>
              </w:rPr>
            </w:pPr>
            <w:r>
              <w:rPr>
                <w:b/>
              </w:rPr>
              <w:t xml:space="preserve">Owned by </w:t>
            </w:r>
          </w:p>
          <w:p>
            <w:pPr>
              <w:pStyle w:val="Normal"/>
              <w:rPr>
                <w:b/>
              </w:rPr>
            </w:pPr>
            <w:r>
              <w:rPr>
                <w:b/>
              </w:rPr>
              <w:t>Seller</w:t>
            </w:r>
          </w:p>
        </w:tc>
        <w:tc>
          <w:tcPr>
            <w:tcW w:w="171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rPr/>
            </w:pPr>
            <w:r>
              <w:rPr/>
              <w:t>GTB</w:t>
            </w:r>
          </w:p>
        </w:tc>
        <w:tc>
          <w:tcPr>
            <w:tcW w:w="2250" w:type="dxa"/>
            <w:tcBorders>
              <w:top w:val="single" w:sz="6" w:space="0" w:color="000000"/>
              <w:start w:val="single" w:sz="6" w:space="0" w:color="000000"/>
              <w:bottom w:val="single" w:sz="4" w:space="0" w:color="000000"/>
            </w:tcBorders>
          </w:tcPr>
          <w:p>
            <w:pPr>
              <w:pStyle w:val="Normal"/>
              <w:rPr/>
            </w:pPr>
            <w:r>
              <w:rPr/>
              <w:t xml:space="preserve">Enron Global Power &amp; Pipelines LLC </w:t>
            </w:r>
          </w:p>
          <w:p>
            <w:pPr>
              <w:pStyle w:val="Normal"/>
              <w:rPr/>
            </w:pPr>
            <w:r>
              <w:rPr/>
              <w:t>(EGPP)</w:t>
            </w:r>
          </w:p>
        </w:tc>
        <w:tc>
          <w:tcPr>
            <w:tcW w:w="180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44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sectPr>
          <w:headerReference w:type="default" r:id="rId4"/>
          <w:headerReference w:type="first" r:id="rId5"/>
          <w:footerReference w:type="default" r:id="rId6"/>
          <w:footerReference w:type="first" r:id="rId7"/>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Subscription and Shareholders' Agreement dated December 19, 1997 among Transredes-Transporte de Hidrocarburos S.A., Enron (Bolivia) C.V., Shell Gas (Latin America) B.V., Petrobras Fertilizantes S.A., British Gas Overseas Holdings Limited, EPED B Company, BHP Petroleum (Pipeline) Pty Ltd. and Gas TransBoliviano 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Joint Venture and Shareholders' Agreement between Yacimiento Petroliferos Fiscales Bolivianos and Enron (Bolivia) C.V. dated March 21,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BBPP Transfer Agreement dated December 4, 1996 among Enron (Bolivia) C.V., Enron Transportadora (Bolivia) S.A., and Shell Overseas Holdings Limited,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4.</w:t>
        <w:tab/>
        <w:t>Shareholders Agreement dated December 4, 1996 between Enron Transportadora (Bolivia) S.A. and Shell Overseas Holdings Limited, as amended.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SCHEDULE 5.04(b)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center"/>
        <w:rPr>
          <w:b/>
        </w:rPr>
      </w:pPr>
      <w:r>
        <w:rPr>
          <w:b/>
        </w:rPr>
        <w:t>INTELLECTUAL PROPERTY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t>[To be provided by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5.07(b)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REGULATING GOVERNMENTAL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tab/>
        <w:t>This Schedule sets forth the Governmental Authorities which regulate the material products or services sold or provided by, or the material supplies purchased by, the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tab/>
        <w:t>1.</w:t>
        <w:tab/>
        <w:t>SIRESE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tab/>
        <w:t>2.</w:t>
        <w:tab/>
        <w:t>Governmental Supreme Decrees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776" w:footer="720" w:bottom="77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16"/>
        </w:rPr>
      </w:pPr>
      <w:r>
        <w:rPr>
          <w:b/>
          <w:sz w:val="1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u w:val="single"/>
        </w:rPr>
      </w:pPr>
      <w:r>
        <w:rPr>
          <w:sz w:val="16"/>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related limits and deductibles and expiration dates of the principal insurance policies currently maintained by any Transfer Company or by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rPr>
      </w:pPr>
      <w:r>
        <w:rPr>
          <w:sz w:val="16"/>
        </w:rPr>
      </w:r>
    </w:p>
    <w:tbl>
      <w:tblPr>
        <w:tblW w:w="14670" w:type="dxa"/>
        <w:jc w:val="start"/>
        <w:tblInd w:w="-72" w:type="dxa"/>
        <w:tblLayout w:type="fixed"/>
        <w:tblCellMar>
          <w:top w:w="0" w:type="dxa"/>
          <w:start w:w="0" w:type="dxa"/>
          <w:bottom w:w="0" w:type="dxa"/>
          <w:end w:w="0" w:type="dxa"/>
        </w:tblCellMar>
      </w:tblPr>
      <w:tblGrid>
        <w:gridCol w:w="42"/>
        <w:gridCol w:w="1698"/>
        <w:gridCol w:w="1222"/>
        <w:gridCol w:w="3098"/>
        <w:gridCol w:w="630"/>
        <w:gridCol w:w="2250"/>
        <w:gridCol w:w="1530"/>
        <w:gridCol w:w="1230"/>
        <w:gridCol w:w="2592"/>
        <w:gridCol w:w="378"/>
      </w:tblGrid>
      <w:tr>
        <w:trPr>
          <w:trHeight w:val="468" w:hRule="atLeast"/>
        </w:trPr>
        <w:tc>
          <w:tcPr>
            <w:tcW w:w="42" w:type="dxa"/>
            <w:tcBorders/>
          </w:tcPr>
          <w:p>
            <w:pPr>
              <w:pStyle w:val="TableHeading"/>
              <w:rPr/>
            </w:pPr>
            <w:r>
              <w:rPr/>
            </w:r>
          </w:p>
        </w:tc>
        <w:tc>
          <w:tcPr>
            <w:tcW w:w="14250" w:type="dxa"/>
            <w:gridSpan w:val="8"/>
            <w:tcBorders/>
            <w:tcMar>
              <w:start w:w="30" w:type="dxa"/>
              <w:end w:w="30" w:type="dxa"/>
            </w:tcMar>
          </w:tcPr>
          <w:p>
            <w:pPr>
              <w:pStyle w:val="Normal"/>
              <w:ind w:start="-30" w:end="0"/>
              <w:jc w:val="center"/>
              <w:rPr>
                <w:rFonts w:ascii="Arial" w:hAnsi="Arial" w:cs="Arial"/>
                <w:color w:val="000000"/>
                <w:lang w:eastAsia="en-US"/>
              </w:rPr>
            </w:pPr>
            <w:r>
              <w:rPr>
                <w:rFonts w:cs="Arial" w:ascii="Arial" w:hAnsi="Arial"/>
                <w:b/>
                <w:color w:val="000000"/>
                <w:lang w:eastAsia="en-US"/>
              </w:rPr>
              <w:t>GAS TRANSBOLIVIANO S.A.</w:t>
            </w:r>
          </w:p>
          <w:p>
            <w:pPr>
              <w:pStyle w:val="Normal"/>
              <w:ind w:start="-30" w:end="0"/>
              <w:jc w:val="center"/>
              <w:rPr>
                <w:rFonts w:ascii="Arial" w:hAnsi="Arial" w:cs="Arial"/>
                <w:color w:val="000000"/>
                <w:lang w:eastAsia="en-US"/>
              </w:rPr>
            </w:pPr>
            <w:r>
              <w:rPr>
                <w:rFonts w:cs="Arial" w:ascii="Arial" w:hAnsi="Arial"/>
                <w:b/>
                <w:color w:val="000000"/>
                <w:sz w:val="20"/>
                <w:lang w:eastAsia="en-US"/>
              </w:rPr>
              <w:t>Insurance Program Summary</w:t>
            </w:r>
          </w:p>
        </w:tc>
        <w:tc>
          <w:tcPr>
            <w:tcW w:w="378" w:type="dxa"/>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86" w:hRule="atLeast"/>
        </w:trPr>
        <w:tc>
          <w:tcPr>
            <w:tcW w:w="42" w:type="dxa"/>
            <w:tcBorders/>
          </w:tcPr>
          <w:p>
            <w:pPr>
              <w:pStyle w:val="TableContents"/>
              <w:rPr>
                <w:rFonts w:ascii="Arial" w:hAnsi="Arial" w:cs="Arial"/>
                <w:color w:val="000000"/>
                <w:lang w:eastAsia="en-US"/>
              </w:rPr>
            </w:pPr>
            <w:r>
              <w:rPr>
                <w:rFonts w:cs="Arial" w:ascii="Arial" w:hAnsi="Arial"/>
                <w:color w:val="000000"/>
                <w:lang w:eastAsia="en-US"/>
              </w:rPr>
            </w:r>
          </w:p>
        </w:tc>
        <w:tc>
          <w:tcPr>
            <w:tcW w:w="14250" w:type="dxa"/>
            <w:gridSpan w:val="8"/>
            <w:tcBorders/>
            <w:tcMar>
              <w:start w:w="30" w:type="dxa"/>
              <w:end w:w="30" w:type="dxa"/>
            </w:tcMar>
          </w:tcPr>
          <w:p>
            <w:pPr>
              <w:pStyle w:val="Normal"/>
              <w:ind w:start="-30" w:end="0"/>
              <w:jc w:val="center"/>
              <w:rPr>
                <w:rFonts w:ascii="Arial" w:hAnsi="Arial" w:cs="Arial"/>
                <w:color w:val="000000"/>
                <w:sz w:val="20"/>
                <w:lang w:eastAsia="en-US"/>
              </w:rPr>
            </w:pPr>
            <w:r>
              <w:rPr>
                <w:rFonts w:cs="Arial" w:ascii="Arial" w:hAnsi="Arial"/>
                <w:b/>
                <w:color w:val="000000"/>
                <w:sz w:val="20"/>
                <w:lang w:eastAsia="en-US"/>
              </w:rPr>
              <w:t>2000-2001</w:t>
            </w:r>
          </w:p>
        </w:tc>
        <w:tc>
          <w:tcPr>
            <w:tcW w:w="378" w:type="dxa"/>
            <w:tcBorders/>
          </w:tcPr>
          <w:p>
            <w:pPr>
              <w:pStyle w:val="Normal"/>
              <w:snapToGrid w:val="false"/>
              <w:rPr>
                <w:rFonts w:ascii="Arial" w:hAnsi="Arial" w:cs="Arial"/>
                <w:color w:val="000000"/>
                <w:sz w:val="20"/>
                <w:lang w:eastAsia="en-US"/>
              </w:rPr>
            </w:pPr>
            <w:r>
              <w:rPr>
                <w:rFonts w:cs="Arial" w:ascii="Arial" w:hAnsi="Arial"/>
                <w:color w:val="000000"/>
                <w:sz w:val="20"/>
                <w:lang w:eastAsia="en-US"/>
              </w:rPr>
            </w:r>
          </w:p>
        </w:tc>
      </w:tr>
      <w:tr>
        <w:trPr>
          <w:trHeight w:val="220" w:hRule="atLeast"/>
        </w:trPr>
        <w:tc>
          <w:tcPr>
            <w:tcW w:w="1740" w:type="dxa"/>
            <w:gridSpan w:val="2"/>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b/>
                <w:color w:val="000000"/>
                <w:sz w:val="20"/>
                <w:lang w:eastAsia="en-US"/>
              </w:rPr>
            </w:pPr>
            <w:r>
              <w:rPr>
                <w:rFonts w:cs="Arial" w:ascii="Arial" w:hAnsi="Arial"/>
                <w:b/>
                <w:color w:val="000000"/>
                <w:sz w:val="20"/>
                <w:lang w:eastAsia="en-US"/>
              </w:rPr>
            </w:r>
          </w:p>
        </w:tc>
        <w:tc>
          <w:tcPr>
            <w:tcW w:w="1222" w:type="dxa"/>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098" w:type="dxa"/>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630" w:type="dxa"/>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250" w:type="dxa"/>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530" w:type="dxa"/>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30" w:type="dxa"/>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970" w:type="dxa"/>
            <w:gridSpan w:val="2"/>
            <w:tcBorders>
              <w:top w:val="single" w:sz="2" w:space="0" w:color="000000"/>
              <w:start w:val="single" w:sz="2" w:space="0" w:color="000000"/>
              <w:bottom w:val="single" w:sz="12" w:space="0" w:color="000000"/>
              <w:end w:val="single" w:sz="2" w:space="0" w:color="000000"/>
            </w:tcBorders>
            <w:tcMar>
              <w:start w:w="72" w:type="dxa"/>
              <w:end w:w="72" w:type="dxa"/>
            </w:tcMar>
          </w:tcPr>
          <w:p>
            <w:pPr>
              <w:pStyle w:val="Normal"/>
              <w:snapToGrid w:val="false"/>
              <w:ind w:start="-30" w:end="0"/>
              <w:jc w:val="end"/>
              <w:rPr>
                <w:rFonts w:ascii="Arial" w:hAnsi="Arial" w:cs="Arial"/>
                <w:color w:val="000000"/>
                <w:sz w:val="16"/>
                <w:lang w:eastAsia="en-US"/>
              </w:rPr>
            </w:pPr>
            <w:r>
              <w:rPr>
                <w:rFonts w:cs="Arial" w:ascii="Arial" w:hAnsi="Arial"/>
                <w:color w:val="000000"/>
                <w:sz w:val="16"/>
                <w:lang w:eastAsia="en-US"/>
              </w:rPr>
            </w:r>
          </w:p>
        </w:tc>
      </w:tr>
      <w:tr>
        <w:trPr>
          <w:trHeight w:val="482" w:hRule="atLeast"/>
        </w:trPr>
        <w:tc>
          <w:tcPr>
            <w:tcW w:w="1740" w:type="dxa"/>
            <w:gridSpan w:val="2"/>
            <w:tcBorders>
              <w:top w:val="single" w:sz="12" w:space="0" w:color="000000"/>
              <w:start w:val="single" w:sz="12"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TYPE</w:t>
            </w:r>
          </w:p>
        </w:tc>
        <w:tc>
          <w:tcPr>
            <w:tcW w:w="1222" w:type="dxa"/>
            <w:tcBorders>
              <w:top w:val="single" w:sz="12" w:space="0" w:color="000000"/>
              <w:start w:val="single" w:sz="6"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INSURED</w:t>
            </w:r>
          </w:p>
        </w:tc>
        <w:tc>
          <w:tcPr>
            <w:tcW w:w="3098" w:type="dxa"/>
            <w:tcBorders>
              <w:top w:val="single" w:sz="12" w:space="0" w:color="000000"/>
              <w:start w:val="single" w:sz="6"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UNDERWRITERS/REINSURERS</w:t>
            </w:r>
          </w:p>
        </w:tc>
        <w:tc>
          <w:tcPr>
            <w:tcW w:w="630" w:type="dxa"/>
            <w:tcBorders>
              <w:top w:val="single" w:sz="12" w:space="0" w:color="000000"/>
              <w:start w:val="single" w:sz="6"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TERM</w:t>
            </w:r>
          </w:p>
        </w:tc>
        <w:tc>
          <w:tcPr>
            <w:tcW w:w="2250" w:type="dxa"/>
            <w:tcBorders>
              <w:top w:val="single" w:sz="12" w:space="0" w:color="000000"/>
              <w:start w:val="single" w:sz="6"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SUMS INSURED</w:t>
            </w:r>
          </w:p>
        </w:tc>
        <w:tc>
          <w:tcPr>
            <w:tcW w:w="1530" w:type="dxa"/>
            <w:tcBorders>
              <w:top w:val="single" w:sz="12" w:space="0" w:color="000000"/>
              <w:start w:val="single" w:sz="6"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 xml:space="preserve">BASIS OF COVERAGE </w:t>
            </w:r>
          </w:p>
        </w:tc>
        <w:tc>
          <w:tcPr>
            <w:tcW w:w="1230" w:type="dxa"/>
            <w:tcBorders>
              <w:top w:val="single" w:sz="12" w:space="0" w:color="000000"/>
              <w:start w:val="single" w:sz="6" w:space="0" w:color="000000"/>
              <w:bottom w:val="single" w:sz="12" w:space="0" w:color="000000"/>
              <w:end w:val="single" w:sz="6" w:space="0" w:color="000000"/>
            </w:tcBorders>
            <w:tcMar>
              <w:start w:w="72" w:type="dxa"/>
              <w:end w:w="72" w:type="dxa"/>
            </w:tcMar>
          </w:tcPr>
          <w:p>
            <w:pPr>
              <w:pStyle w:val="Normal"/>
              <w:jc w:val="center"/>
              <w:rPr>
                <w:rFonts w:ascii="Arial" w:hAnsi="Arial" w:cs="Arial"/>
                <w:b/>
                <w:color w:val="000000"/>
                <w:sz w:val="14"/>
                <w:lang w:eastAsia="en-US"/>
              </w:rPr>
            </w:pPr>
            <w:r>
              <w:rPr>
                <w:rFonts w:cs="Arial" w:ascii="Arial" w:hAnsi="Arial"/>
                <w:b/>
                <w:color w:val="000000"/>
                <w:sz w:val="14"/>
                <w:lang w:eastAsia="en-US"/>
              </w:rPr>
              <w:t>DEDUCTIBLES</w:t>
            </w:r>
          </w:p>
        </w:tc>
        <w:tc>
          <w:tcPr>
            <w:tcW w:w="2970" w:type="dxa"/>
            <w:gridSpan w:val="2"/>
            <w:tcBorders>
              <w:top w:val="single" w:sz="12" w:space="0" w:color="000000"/>
              <w:start w:val="single" w:sz="6" w:space="0" w:color="000000"/>
              <w:bottom w:val="single" w:sz="12" w:space="0" w:color="000000"/>
              <w:end w:val="single" w:sz="12" w:space="0" w:color="000000"/>
            </w:tcBorders>
            <w:tcMar>
              <w:start w:w="72" w:type="dxa"/>
              <w:end w:w="72" w:type="dxa"/>
            </w:tcMar>
          </w:tcPr>
          <w:p>
            <w:pPr>
              <w:pStyle w:val="Normal"/>
              <w:ind w:start="-30" w:end="0"/>
              <w:jc w:val="center"/>
              <w:rPr>
                <w:rFonts w:ascii="Arial" w:hAnsi="Arial" w:cs="Arial"/>
                <w:b/>
                <w:color w:val="000000"/>
                <w:sz w:val="14"/>
                <w:lang w:eastAsia="en-US"/>
              </w:rPr>
            </w:pPr>
            <w:r>
              <w:rPr>
                <w:rFonts w:cs="Arial" w:ascii="Arial" w:hAnsi="Arial"/>
                <w:b/>
                <w:color w:val="000000"/>
                <w:sz w:val="14"/>
                <w:lang w:eastAsia="en-US"/>
              </w:rPr>
              <w:t>SIGNIFICANT RIDERS</w:t>
            </w:r>
          </w:p>
        </w:tc>
      </w:tr>
      <w:tr>
        <w:trPr>
          <w:trHeight w:val="209" w:hRule="atLeast"/>
        </w:trPr>
        <w:tc>
          <w:tcPr>
            <w:tcW w:w="1740" w:type="dxa"/>
            <w:gridSpan w:val="2"/>
            <w:tcBorders>
              <w:top w:val="single" w:sz="1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Material Damage</w:t>
            </w:r>
          </w:p>
        </w:tc>
        <w:tc>
          <w:tcPr>
            <w:tcW w:w="1222" w:type="dxa"/>
            <w:tcBorders>
              <w:top w:val="single" w:sz="1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Gas</w:t>
            </w:r>
          </w:p>
        </w:tc>
        <w:tc>
          <w:tcPr>
            <w:tcW w:w="3098" w:type="dxa"/>
            <w:tcBorders>
              <w:top w:val="single" w:sz="1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17.4500% - Lloyd's Syndicate #2020</w:t>
            </w:r>
          </w:p>
        </w:tc>
        <w:tc>
          <w:tcPr>
            <w:tcW w:w="630" w:type="dxa"/>
            <w:tcBorders>
              <w:top w:val="single" w:sz="1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6/1/99</w:t>
            </w:r>
          </w:p>
        </w:tc>
        <w:tc>
          <w:tcPr>
            <w:tcW w:w="2250" w:type="dxa"/>
            <w:tcBorders>
              <w:top w:val="single" w:sz="1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 xml:space="preserve">$378,000,000 - Material Damage </w:t>
            </w:r>
          </w:p>
        </w:tc>
        <w:tc>
          <w:tcPr>
            <w:tcW w:w="1530" w:type="dxa"/>
            <w:tcBorders>
              <w:top w:val="single" w:sz="1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 xml:space="preserve">Physical loss or damage </w:t>
            </w:r>
          </w:p>
        </w:tc>
        <w:tc>
          <w:tcPr>
            <w:tcW w:w="1230" w:type="dxa"/>
            <w:tcBorders>
              <w:top w:val="single" w:sz="1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MD - $50,000 each occurrence</w:t>
            </w:r>
          </w:p>
        </w:tc>
        <w:tc>
          <w:tcPr>
            <w:tcW w:w="2970" w:type="dxa"/>
            <w:gridSpan w:val="2"/>
            <w:tcBorders>
              <w:top w:val="single" w:sz="12"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Contingent Business Interruption included with respect Rio Grande Compressor Station</w:t>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Business Interruption</w:t>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Transboliviano</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26.1800% - Lloyd's Syndicate #2027</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$24mm - Bus. Int. (7/1/00-12/31/00)</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 facilities including</w:t>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BI - 7 days</w:t>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Notice of Cancellation at Anniversary Date subject to 90 days notice</w:t>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MS-S 832R</w:t>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S.A.</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1.9206% - Lloyd's Syndicate #1003</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7/1/02</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$29mm - Bus. Int. (1/1/01-6/30/01)</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Business Interruption</w:t>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 xml:space="preserve">Coverage included for lost revenue (Business Interruption) and liquidated damages </w:t>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6.8094% - Lloyd's Syndicate #2003</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$10mm - Contractual Payments (7/1/00-12/31/00)</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(Contractual Payments) following a covered physical loss or damage</w:t>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8.7300% - Lloyd's Syndicate #1096</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$19mm - Contractual Payments (1/1/01-6/30/01)</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start"/>
              <w:rPr>
                <w:rFonts w:ascii="Arial" w:hAnsi="Arial" w:cs="Arial"/>
                <w:color w:val="000000"/>
                <w:sz w:val="13"/>
                <w:lang w:eastAsia="en-US"/>
              </w:rPr>
            </w:pPr>
            <w:r>
              <w:rPr>
                <w:rFonts w:cs="Arial" w:ascii="Arial" w:hAnsi="Arial"/>
                <w:color w:val="000000"/>
                <w:sz w:val="13"/>
                <w:lang w:eastAsia="en-US"/>
              </w:rPr>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4.3600% - Lloyd's Syndicate #1308</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start"/>
              <w:rPr>
                <w:rFonts w:ascii="Arial" w:hAnsi="Arial" w:cs="Arial"/>
                <w:color w:val="000000"/>
                <w:sz w:val="13"/>
                <w:lang w:eastAsia="en-US"/>
              </w:rPr>
            </w:pPr>
            <w:r>
              <w:rPr>
                <w:rFonts w:cs="Arial" w:ascii="Arial" w:hAnsi="Arial"/>
                <w:color w:val="000000"/>
                <w:sz w:val="13"/>
                <w:lang w:eastAsia="en-US"/>
              </w:rPr>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4.8000% - ERC Frankona Reinsurance A/S</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start"/>
              <w:rPr>
                <w:rFonts w:ascii="Arial" w:hAnsi="Arial" w:cs="Arial"/>
                <w:color w:val="000000"/>
                <w:sz w:val="13"/>
                <w:lang w:eastAsia="en-US"/>
              </w:rPr>
            </w:pPr>
            <w:r>
              <w:rPr>
                <w:rFonts w:cs="Arial" w:ascii="Arial" w:hAnsi="Arial"/>
                <w:color w:val="000000"/>
                <w:sz w:val="13"/>
                <w:lang w:eastAsia="en-US"/>
              </w:rPr>
            </w:r>
          </w:p>
        </w:tc>
      </w:tr>
      <w:tr>
        <w:trPr>
          <w:trHeight w:val="209" w:hRule="atLeast"/>
        </w:trPr>
        <w:tc>
          <w:tcPr>
            <w:tcW w:w="1740" w:type="dxa"/>
            <w:gridSpan w:val="2"/>
            <w:tcBorders>
              <w:top w:val="single" w:sz="2" w:space="0" w:color="000000"/>
              <w:start w:val="single" w:sz="12" w:space="0" w:color="000000"/>
              <w:bottom w:val="single" w:sz="6"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29.7500% - Solen Versicherungen</w:t>
            </w:r>
          </w:p>
        </w:tc>
        <w:tc>
          <w:tcPr>
            <w:tcW w:w="63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6" w:space="0" w:color="000000"/>
              <w:end w:val="single" w:sz="12" w:space="0" w:color="000000"/>
            </w:tcBorders>
            <w:tcMar>
              <w:start w:w="72" w:type="dxa"/>
              <w:end w:w="72" w:type="dxa"/>
            </w:tcMar>
          </w:tcPr>
          <w:p>
            <w:pPr>
              <w:pStyle w:val="Normal"/>
              <w:snapToGrid w:val="false"/>
              <w:ind w:start="-30" w:end="0"/>
              <w:jc w:val="start"/>
              <w:rPr>
                <w:rFonts w:ascii="Arial" w:hAnsi="Arial" w:cs="Arial"/>
                <w:color w:val="000000"/>
                <w:sz w:val="13"/>
                <w:lang w:eastAsia="en-US"/>
              </w:rPr>
            </w:pPr>
            <w:r>
              <w:rPr>
                <w:rFonts w:cs="Arial" w:ascii="Arial" w:hAnsi="Arial"/>
                <w:color w:val="000000"/>
                <w:sz w:val="13"/>
                <w:lang w:eastAsia="en-US"/>
              </w:rPr>
            </w:r>
          </w:p>
        </w:tc>
      </w:tr>
      <w:tr>
        <w:trPr>
          <w:trHeight w:val="209" w:hRule="atLeast"/>
        </w:trPr>
        <w:tc>
          <w:tcPr>
            <w:tcW w:w="1740" w:type="dxa"/>
            <w:gridSpan w:val="2"/>
            <w:tcBorders>
              <w:top w:val="single" w:sz="6"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General Liability</w:t>
            </w:r>
          </w:p>
        </w:tc>
        <w:tc>
          <w:tcPr>
            <w:tcW w:w="1222"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Gas</w:t>
            </w:r>
          </w:p>
        </w:tc>
        <w:tc>
          <w:tcPr>
            <w:tcW w:w="3098"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100.0000% - ACE U.S.A.</w:t>
            </w:r>
          </w:p>
        </w:tc>
        <w:tc>
          <w:tcPr>
            <w:tcW w:w="6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7/1/00</w:t>
            </w:r>
          </w:p>
        </w:tc>
        <w:tc>
          <w:tcPr>
            <w:tcW w:w="225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 xml:space="preserve">$10,000,000 </w:t>
            </w:r>
          </w:p>
        </w:tc>
        <w:tc>
          <w:tcPr>
            <w:tcW w:w="15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Protection against liability</w:t>
            </w:r>
          </w:p>
        </w:tc>
        <w:tc>
          <w:tcPr>
            <w:tcW w:w="12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Nil</w:t>
            </w:r>
          </w:p>
        </w:tc>
        <w:tc>
          <w:tcPr>
            <w:tcW w:w="2970" w:type="dxa"/>
            <w:gridSpan w:val="2"/>
            <w:tcBorders>
              <w:top w:val="single" w:sz="6"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 xml:space="preserve">Blanket Additional Insured where required by contract </w:t>
            </w:r>
          </w:p>
        </w:tc>
      </w:tr>
      <w:tr>
        <w:trPr>
          <w:trHeight w:val="168"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MS-S 944R</w:t>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Transboliviano</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 third parties</w:t>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Blanket Waiver if Subrogation where required by contract</w:t>
            </w:r>
          </w:p>
        </w:tc>
      </w:tr>
      <w:tr>
        <w:trPr>
          <w:trHeight w:val="168"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S.A.</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7/1/01</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Pollution coverage requires notice to reinsurers within 96 hours of an event</w:t>
            </w:r>
          </w:p>
        </w:tc>
      </w:tr>
      <w:tr>
        <w:trPr>
          <w:trHeight w:val="209" w:hRule="atLeast"/>
        </w:trPr>
        <w:tc>
          <w:tcPr>
            <w:tcW w:w="1740" w:type="dxa"/>
            <w:gridSpan w:val="2"/>
            <w:tcBorders>
              <w:top w:val="single" w:sz="6"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Excess Liability</w:t>
            </w:r>
          </w:p>
        </w:tc>
        <w:tc>
          <w:tcPr>
            <w:tcW w:w="1222"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Gas</w:t>
            </w:r>
          </w:p>
        </w:tc>
        <w:tc>
          <w:tcPr>
            <w:tcW w:w="3098"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TBA% - AIU</w:t>
            </w:r>
          </w:p>
        </w:tc>
        <w:tc>
          <w:tcPr>
            <w:tcW w:w="6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7/1/00</w:t>
            </w:r>
          </w:p>
        </w:tc>
        <w:tc>
          <w:tcPr>
            <w:tcW w:w="225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 xml:space="preserve">$90,000,000 </w:t>
            </w:r>
          </w:p>
        </w:tc>
        <w:tc>
          <w:tcPr>
            <w:tcW w:w="15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Protection against liability</w:t>
            </w:r>
          </w:p>
        </w:tc>
        <w:tc>
          <w:tcPr>
            <w:tcW w:w="12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N/A</w:t>
            </w:r>
          </w:p>
        </w:tc>
        <w:tc>
          <w:tcPr>
            <w:tcW w:w="2970" w:type="dxa"/>
            <w:gridSpan w:val="2"/>
            <w:tcBorders>
              <w:top w:val="single" w:sz="6" w:space="0" w:color="000000"/>
              <w:start w:val="single" w:sz="6" w:space="0" w:color="000000"/>
              <w:bottom w:val="single" w:sz="2" w:space="0" w:color="000000"/>
              <w:end w:val="single" w:sz="12" w:space="0" w:color="000000"/>
            </w:tcBorders>
            <w:tcMar>
              <w:start w:w="72" w:type="dxa"/>
              <w:end w:w="72" w:type="dxa"/>
            </w:tcMar>
          </w:tcPr>
          <w:p>
            <w:pPr>
              <w:pStyle w:val="Normal"/>
              <w:ind w:start="-30" w:end="0"/>
              <w:jc w:val="start"/>
              <w:rPr>
                <w:rFonts w:ascii="Arial" w:hAnsi="Arial" w:cs="Arial"/>
                <w:color w:val="000000"/>
                <w:sz w:val="13"/>
                <w:lang w:eastAsia="en-US"/>
              </w:rPr>
            </w:pPr>
            <w:r>
              <w:rPr>
                <w:rFonts w:cs="Arial" w:ascii="Arial" w:hAnsi="Arial"/>
                <w:color w:val="000000"/>
                <w:sz w:val="13"/>
                <w:lang w:eastAsia="en-US"/>
              </w:rPr>
              <w:t>As per underlying</w:t>
            </w:r>
          </w:p>
        </w:tc>
      </w:tr>
      <w:tr>
        <w:trPr>
          <w:trHeight w:val="168"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MS-S 945R</w:t>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Transboliviano</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excess</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 third parties</w:t>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168"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S.A.</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29.7500% - Solen Versicherungen</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7/1/01</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 xml:space="preserve">$10,000,000 </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168" w:hRule="atLeast"/>
        </w:trPr>
        <w:tc>
          <w:tcPr>
            <w:tcW w:w="1740" w:type="dxa"/>
            <w:gridSpan w:val="2"/>
            <w:tcBorders>
              <w:top w:val="single" w:sz="2" w:space="0" w:color="000000"/>
              <w:start w:val="single" w:sz="12"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6"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6"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1740" w:type="dxa"/>
            <w:gridSpan w:val="2"/>
            <w:tcBorders>
              <w:top w:val="single" w:sz="6"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Automobile Liability</w:t>
            </w:r>
          </w:p>
        </w:tc>
        <w:tc>
          <w:tcPr>
            <w:tcW w:w="1222"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Gas</w:t>
            </w:r>
          </w:p>
        </w:tc>
        <w:tc>
          <w:tcPr>
            <w:tcW w:w="3098"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 xml:space="preserve">100.0000% - La Boliviana Ciacruz de Seguros </w:t>
            </w:r>
          </w:p>
        </w:tc>
        <w:tc>
          <w:tcPr>
            <w:tcW w:w="6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5/16/00</w:t>
            </w:r>
          </w:p>
        </w:tc>
        <w:tc>
          <w:tcPr>
            <w:tcW w:w="225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$30,000 per vehicle</w:t>
            </w:r>
          </w:p>
        </w:tc>
        <w:tc>
          <w:tcPr>
            <w:tcW w:w="15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Auto Liability</w:t>
            </w:r>
          </w:p>
        </w:tc>
        <w:tc>
          <w:tcPr>
            <w:tcW w:w="1230" w:type="dxa"/>
            <w:tcBorders>
              <w:top w:val="single" w:sz="6"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$100 - Physical Damage</w:t>
            </w:r>
          </w:p>
        </w:tc>
        <w:tc>
          <w:tcPr>
            <w:tcW w:w="2970" w:type="dxa"/>
            <w:gridSpan w:val="2"/>
            <w:tcBorders>
              <w:top w:val="single" w:sz="6"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&amp; Physical Damage</w:t>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Transboliviano</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y Reaseguros S.A.</w:t>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to</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Acc. Death -$5,000/Person</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and</w:t>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Nil - Liability</w:t>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A0044037</w:t>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S.A.</w:t>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5/16/01</w:t>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Perm.Disab.-$5,000/Person</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Physical Damage</w:t>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Med.Exp-$1,000/Person</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1740" w:type="dxa"/>
            <w:gridSpan w:val="2"/>
            <w:tcBorders>
              <w:top w:val="single" w:sz="2" w:space="0" w:color="000000"/>
              <w:start w:val="single" w:sz="12"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222"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3098"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25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jc w:val="center"/>
              <w:rPr>
                <w:rFonts w:ascii="Arial" w:hAnsi="Arial" w:cs="Arial"/>
                <w:color w:val="000000"/>
                <w:sz w:val="14"/>
                <w:lang w:eastAsia="en-US"/>
              </w:rPr>
            </w:pPr>
            <w:r>
              <w:rPr>
                <w:rFonts w:cs="Arial" w:ascii="Arial" w:hAnsi="Arial"/>
                <w:color w:val="000000"/>
                <w:sz w:val="14"/>
                <w:lang w:eastAsia="en-US"/>
              </w:rPr>
              <w:t>P.D. $319,000</w:t>
            </w:r>
          </w:p>
        </w:tc>
        <w:tc>
          <w:tcPr>
            <w:tcW w:w="15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230" w:type="dxa"/>
            <w:tcBorders>
              <w:top w:val="single" w:sz="2" w:space="0" w:color="000000"/>
              <w:start w:val="single" w:sz="6" w:space="0" w:color="000000"/>
              <w:bottom w:val="single" w:sz="2" w:space="0" w:color="000000"/>
              <w:end w:val="single" w:sz="6" w:space="0" w:color="000000"/>
            </w:tcBorders>
            <w:tcMar>
              <w:start w:w="72" w:type="dxa"/>
              <w:end w:w="72" w:type="dxa"/>
            </w:tcM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2970" w:type="dxa"/>
            <w:gridSpan w:val="2"/>
            <w:tcBorders>
              <w:top w:val="single" w:sz="2" w:space="0" w:color="000000"/>
              <w:start w:val="single" w:sz="6" w:space="0" w:color="000000"/>
              <w:bottom w:val="single" w:sz="2" w:space="0" w:color="000000"/>
              <w:end w:val="single" w:sz="12" w:space="0" w:color="000000"/>
            </w:tcBorders>
            <w:tcMar>
              <w:start w:w="72" w:type="dxa"/>
              <w:end w:w="72" w:type="dxa"/>
            </w:tcMar>
          </w:tcPr>
          <w:p>
            <w:pPr>
              <w:pStyle w:val="Normal"/>
              <w:snapToGrid w:val="false"/>
              <w:ind w:start="-30" w:end="0"/>
              <w:jc w:val="end"/>
              <w:rPr>
                <w:rFonts w:ascii="Arial" w:hAnsi="Arial" w:cs="Arial"/>
                <w:color w:val="000000"/>
                <w:sz w:val="14"/>
                <w:lang w:eastAsia="en-US"/>
              </w:rPr>
            </w:pPr>
            <w:r>
              <w:rPr>
                <w:rFonts w:cs="Arial" w:ascii="Arial" w:hAnsi="Arial"/>
                <w:color w:val="000000"/>
                <w:sz w:val="14"/>
                <w:lang w:eastAsia="en-US"/>
              </w:rPr>
            </w:r>
          </w:p>
        </w:tc>
      </w:tr>
    </w:tbl>
    <w:p>
      <w:pPr>
        <w:sectPr>
          <w:headerReference w:type="default" r:id="rId12"/>
          <w:headerReference w:type="first" r:id="rId13"/>
          <w:footerReference w:type="default" r:id="rId14"/>
          <w:footerReference w:type="first" r:id="rId15"/>
          <w:type w:val="nextPage"/>
          <w:pgSz w:orient="landscape" w:w="15840" w:h="12240"/>
          <w:pgMar w:left="720" w:right="720" w:gutter="0" w:header="720" w:top="1440" w:footer="720" w:bottom="1440"/>
          <w:pgNumType w:fmt="decimal"/>
          <w:formProt w:val="false"/>
          <w:textDirection w:val="lrTb"/>
          <w:docGrid w:type="default" w:linePitch="360" w:charSpace="0"/>
        </w:sectPr>
      </w:pP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 xml:space="preserve">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is Schedules 5.10(b) and 7.05 respectively to this Parent Disclosure Letter) are hereby incorporated in this Schedule by this reference.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start="720" w:end="0"/>
        <w:rPr/>
      </w:pPr>
      <w:r>
        <w:rPr/>
        <w:t xml:space="preserve">— </w:t>
      </w:r>
      <w:r>
        <w:rPr/>
        <w:t>Petrobras is potentially in default under the Turnkey EPC Contract dated ____________ for failing to maintain risk insurance in the amount specified in such contract.  Petrobras is carrying insurance, but in a smaller amount than specified.  GTB is withholding approximately US $7 million until the completion of the punch list.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rPr>
        <w:t>[To be supplied by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5.15 of the Agreement relating to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w:t>
      </w:r>
      <w:r>
        <w:rPr/>
        <w:tab/>
        <w:t>Dispute under negotiation between GTB and Petrobras in connection with</w:t>
      </w:r>
      <w:r>
        <w:rPr>
          <w:b/>
        </w:rPr>
        <w:t xml:space="preserve"> [the Turnkey EPC Contract]</w:t>
      </w:r>
      <w:r>
        <w:rPr/>
        <w:t xml:space="preserve"> dated ___________.  Petrobras has claimed approximately US$ 89 million and GTB has counterclaimed for non-compliance and punch list work outstanding for US$ 20 million.  Settlement negotiations ongoing.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5.14(b)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MATERIAL ADVERSE 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Relating to negative covenant 7.02(b)(xi):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GTB may consider issuing bonds in local markets over the next 6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7.02(b)(xi)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NEGATIVE COVENANTS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GTB may consider issuing bonds in local markets over the next 6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CAPITAL BUDGET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16"/>
        </w:rPr>
      </w:pPr>
      <w:r>
        <w:rPr>
          <w:b/>
          <w:sz w:val="16"/>
        </w:rPr>
      </w:r>
    </w:p>
    <w:tbl>
      <w:tblPr>
        <w:tblW w:w="9360" w:type="dxa"/>
        <w:jc w:val="start"/>
        <w:tblInd w:w="0" w:type="dxa"/>
        <w:tblLayout w:type="fixed"/>
        <w:tblCellMar>
          <w:top w:w="0" w:type="dxa"/>
          <w:start w:w="0" w:type="dxa"/>
          <w:bottom w:w="0" w:type="dxa"/>
          <w:end w:w="0" w:type="dxa"/>
        </w:tblCellMar>
      </w:tblPr>
      <w:tblGrid>
        <w:gridCol w:w="3506"/>
        <w:gridCol w:w="1714"/>
        <w:gridCol w:w="210"/>
        <w:gridCol w:w="1770"/>
        <w:gridCol w:w="180"/>
        <w:gridCol w:w="1800"/>
        <w:gridCol w:w="180"/>
      </w:tblGrid>
      <w:tr>
        <w:trPr>
          <w:tblHeader w:val="true"/>
        </w:trPr>
        <w:tc>
          <w:tcPr>
            <w:tcW w:w="3506" w:type="dxa"/>
            <w:vMerge w:val="restart"/>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3874" w:type="dxa"/>
            <w:gridSpan w:val="4"/>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18"/>
              </w:rPr>
            </w:pPr>
            <w:r>
              <w:rPr>
                <w:rFonts w:cs="Arial" w:ascii="Arial" w:hAnsi="Arial"/>
                <w:b/>
                <w:sz w:val="18"/>
              </w:rPr>
              <w:t>PROJECT TO DATE</w:t>
            </w:r>
          </w:p>
        </w:tc>
        <w:tc>
          <w:tcPr>
            <w:tcW w:w="1980"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18"/>
              </w:rPr>
            </w:pPr>
            <w:r>
              <w:rPr>
                <w:rFonts w:cs="Arial" w:ascii="Arial" w:hAnsi="Arial"/>
                <w:b/>
                <w:sz w:val="18"/>
              </w:rPr>
              <w:t>OVER (UNDER)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18"/>
              </w:rPr>
            </w:pPr>
            <w:r>
              <w:rPr>
                <w:rFonts w:cs="Arial" w:ascii="Arial" w:hAnsi="Arial"/>
                <w:b/>
                <w:sz w:val="18"/>
              </w:rPr>
              <w:t>Budget</w:t>
            </w:r>
          </w:p>
        </w:tc>
      </w:tr>
      <w:tr>
        <w:trPr>
          <w:tblHeader w:val="true"/>
        </w:trPr>
        <w:tc>
          <w:tcPr>
            <w:tcW w:w="3506" w:type="dxa"/>
            <w:vMerge w:val="continue"/>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924" w:type="dxa"/>
            <w:gridSpan w:val="2"/>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18"/>
              </w:rPr>
            </w:pPr>
            <w:r>
              <w:rPr>
                <w:rFonts w:cs="Arial" w:ascii="Arial" w:hAnsi="Arial"/>
                <w:b/>
                <w:sz w:val="18"/>
              </w:rPr>
              <w:t>ACTUAL</w:t>
            </w:r>
          </w:p>
        </w:tc>
        <w:tc>
          <w:tcPr>
            <w:tcW w:w="1950" w:type="dxa"/>
            <w:gridSpan w:val="2"/>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18"/>
              </w:rPr>
            </w:pPr>
            <w:r>
              <w:rPr>
                <w:rFonts w:cs="Arial" w:ascii="Arial" w:hAnsi="Arial"/>
                <w:b/>
                <w:sz w:val="18"/>
              </w:rPr>
              <w:t>BUDGET</w:t>
            </w:r>
          </w:p>
        </w:tc>
        <w:tc>
          <w:tcPr>
            <w:tcW w:w="198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b/>
                <w:sz w:val="18"/>
              </w:rPr>
            </w:pPr>
            <w:r>
              <w:rPr>
                <w:rFonts w:cs="Arial" w:ascii="Arial" w:hAnsi="Arial"/>
                <w:b/>
                <w:sz w:val="18"/>
              </w:rPr>
            </w:r>
          </w:p>
        </w:tc>
      </w:tr>
      <w:tr>
        <w:trPr/>
        <w:tc>
          <w:tcPr>
            <w:tcW w:w="3506"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EPC</w:t>
            </w:r>
          </w:p>
        </w:tc>
        <w:tc>
          <w:tcPr>
            <w:tcW w:w="1714"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21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b/>
                <w:sz w:val="18"/>
              </w:rPr>
            </w:pPr>
            <w:r>
              <w:rPr>
                <w:rFonts w:cs="Arial" w:ascii="Arial" w:hAnsi="Arial"/>
                <w:b/>
                <w:sz w:val="18"/>
              </w:rPr>
            </w:r>
          </w:p>
        </w:tc>
        <w:tc>
          <w:tcPr>
            <w:tcW w:w="1770"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8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b/>
                <w:sz w:val="18"/>
              </w:rPr>
            </w:pPr>
            <w:r>
              <w:rPr>
                <w:rFonts w:cs="Arial" w:ascii="Arial" w:hAnsi="Arial"/>
                <w:b/>
                <w:sz w:val="18"/>
              </w:rPr>
            </w:r>
          </w:p>
        </w:tc>
        <w:tc>
          <w:tcPr>
            <w:tcW w:w="1800"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8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b/>
                <w:sz w:val="18"/>
              </w:rPr>
            </w:pPr>
            <w:r>
              <w:rPr>
                <w:rFonts w:cs="Arial" w:ascii="Arial" w:hAnsi="Arial"/>
                <w:b/>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Changes/Claim</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Basic Design</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12,390,147</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12,000,000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390,147</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Materials &amp; Equipment</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165,867,414</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(132,586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Construction &amp; Assembly</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159,800,839</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168,000,000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(8,199,161</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Communications/SCADA</w:t>
            </w:r>
          </w:p>
        </w:tc>
        <w:tc>
          <w:tcPr>
            <w:tcW w:w="1714"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2,842,955</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(1,157,045</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t>Total EPC</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340,901,355</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350,000,000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(9,098,645</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rHeight w:val="153" w:hRule="atLeast"/>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Pre Development Cost</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b/>
                <w:sz w:val="18"/>
              </w:rPr>
            </w:pPr>
            <w:r>
              <w:rPr>
                <w:rFonts w:cs="Arial" w:ascii="Arial" w:hAnsi="Arial"/>
                <w:b/>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Enron</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2,500,000</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2,500,000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Shell</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2,500,000</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2,500,000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Petrobras</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5,000,000</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El Paso</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1,666,666</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1,666,666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Brittish Gas</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1,666,666</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1,666,666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BHP</w:t>
            </w:r>
          </w:p>
        </w:tc>
        <w:tc>
          <w:tcPr>
            <w:tcW w:w="1714"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1,666,666</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1,666,666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t>Total Pre Development Cost</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15,000,000</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15,000,000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Financing</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b/>
                <w:sz w:val="18"/>
              </w:rPr>
            </w:pPr>
            <w:r>
              <w:rPr>
                <w:rFonts w:cs="Arial" w:ascii="Arial" w:hAnsi="Arial"/>
                <w:b/>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APC - Advance Fee (3.9%) (b,c)</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11,382,467</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11,382,467</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APC - Compensation (10.07%) (b,c)</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58,857,025</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58,857,025</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APC - Commitment Fee (.5%) (b,c)</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1,000,760</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1,000,760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Interest  on Sub Debt (15%) (b)</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12,203,726</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12,203,726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Pre-Development Adv Interest (b)</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2,792,119</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2,792,119</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TRSA Bridge Loan Interest (15%) (b)</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3,000,623</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3,000,623</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ABN Bridge Loan Upfront Fees/Int (b)</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669,634</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669,634</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Interest Income (b)</w:t>
            </w:r>
          </w:p>
        </w:tc>
        <w:tc>
          <w:tcPr>
            <w:tcW w:w="1714"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(1,742,843</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c>
          <w:tcPr>
            <w:tcW w:w="177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(1.742,843</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c>
          <w:tcPr>
            <w:tcW w:w="180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t>Total Financing Cost</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88,163,511</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88,163,511</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GTB Construction Costs</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b/>
                <w:sz w:val="18"/>
              </w:rPr>
            </w:pPr>
            <w:r>
              <w:rPr>
                <w:rFonts w:cs="Arial" w:ascii="Arial" w:hAnsi="Arial"/>
                <w:b/>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Right of Way</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439,479</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700,000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(260,521</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Owner’s Engineers</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6,575,069</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7,100,000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(524,931</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Environmental/Acheological/Auditing</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2,917,588</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2,400,000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517,588</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Indigenous people plan</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304,978</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5,290,000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(4,985,022</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Gran Chaco Park Fiduciary park</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Non Indigenous People Plan</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Legal Services</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3024,909</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4,400,000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(1,375,091</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Other</w:t>
            </w:r>
          </w:p>
        </w:tc>
        <w:tc>
          <w:tcPr>
            <w:tcW w:w="1714"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808,061</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1,800,000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bottom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(991,939</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t>Total</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14,070,084</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21,690,000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(7,619,916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Owners G&amp;A</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b/>
                <w:sz w:val="18"/>
              </w:rPr>
            </w:pPr>
            <w:r>
              <w:rPr>
                <w:rFonts w:cs="Arial" w:ascii="Arial" w:hAnsi="Arial"/>
                <w:b/>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GTB</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3,757,443</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4,400,000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(642,557</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Transredes</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1,868,823</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2,000,000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(131,177</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Enron</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505,094</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1,500,000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(994,906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Shell</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7,355</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500,000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(492,645</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rPr>
                <w:rFonts w:ascii="Arial" w:hAnsi="Arial" w:cs="Arial"/>
                <w:sz w:val="18"/>
              </w:rPr>
            </w:pPr>
            <w:r>
              <w:rPr>
                <w:rFonts w:cs="Arial" w:ascii="Arial" w:hAnsi="Arial"/>
                <w:sz w:val="18"/>
              </w:rPr>
              <w:t>Total Owners G&amp;A</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6,138,715</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8,400,000</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(2,261,285</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TOTAL</w:t>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464,273,665</w:t>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483,253,511</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(18,979,946</w:t>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rFonts w:ascii="Arial" w:hAnsi="Arial" w:cs="Arial"/>
                <w:sz w:val="18"/>
              </w:rPr>
            </w:pPr>
            <w:r>
              <w:rPr>
                <w:rFonts w:cs="Arial" w:ascii="Arial" w:hAnsi="Arial"/>
                <w:sz w:val="18"/>
              </w:rPr>
              <w:t>)</w:t>
            </w:r>
          </w:p>
        </w:tc>
      </w:tr>
      <w:tr>
        <w:trPr/>
        <w:tc>
          <w:tcPr>
            <w:tcW w:w="3506" w:type="dxa"/>
            <w:tcBorders>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t>Cash-Receivables-Depreciation &amp; Other assets</w:t>
            </w:r>
          </w:p>
        </w:tc>
        <w:tc>
          <w:tcPr>
            <w:tcW w:w="1714"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sz w:val="18"/>
              </w:rPr>
            </w:pPr>
            <w:r>
              <w:rPr>
                <w:rFonts w:cs="Arial" w:ascii="Arial" w:hAnsi="Arial"/>
                <w:sz w:val="18"/>
              </w:rPr>
              <w:t>24,481,209</w:t>
            </w:r>
          </w:p>
        </w:tc>
        <w:tc>
          <w:tcPr>
            <w:tcW w:w="210" w:type="dxa"/>
            <w:tcBorders>
              <w:top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top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top w:val="single" w:sz="4" w:space="0" w:color="000000"/>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sz w:val="18"/>
              </w:rPr>
            </w:pPr>
            <w:r>
              <w:rPr>
                <w:rFonts w:cs="Arial" w:ascii="Arial" w:hAnsi="Arial"/>
                <w:b/>
                <w:sz w:val="18"/>
              </w:rPr>
            </w:r>
          </w:p>
        </w:tc>
        <w:tc>
          <w:tcPr>
            <w:tcW w:w="1714"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21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77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r>
        <w:trPr/>
        <w:tc>
          <w:tcPr>
            <w:tcW w:w="3506" w:type="dxa"/>
            <w:tcBorders>
              <w:start w:val="single" w:sz="4" w:space="0" w:color="000000"/>
              <w:bottom w:val="single" w:sz="2"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t>Total Assets</w:t>
            </w:r>
          </w:p>
        </w:tc>
        <w:tc>
          <w:tcPr>
            <w:tcW w:w="1714" w:type="dxa"/>
            <w:tcBorders>
              <w:start w:val="single" w:sz="4" w:space="0" w:color="000000"/>
              <w:bottom w:val="single" w:sz="2"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b/>
                <w:sz w:val="18"/>
              </w:rPr>
            </w:pPr>
            <w:r>
              <w:rPr>
                <w:rFonts w:cs="Arial" w:ascii="Arial" w:hAnsi="Arial"/>
                <w:b/>
                <w:sz w:val="18"/>
              </w:rPr>
              <w:t>488,754,874</w:t>
            </w:r>
          </w:p>
        </w:tc>
        <w:tc>
          <w:tcPr>
            <w:tcW w:w="210" w:type="dxa"/>
            <w:tcBorders>
              <w:bottom w:val="single" w:sz="2"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b/>
                <w:sz w:val="18"/>
              </w:rPr>
            </w:pPr>
            <w:r>
              <w:rPr>
                <w:rFonts w:cs="Arial" w:ascii="Arial" w:hAnsi="Arial"/>
                <w:b/>
                <w:sz w:val="18"/>
              </w:rPr>
            </w:r>
          </w:p>
        </w:tc>
        <w:tc>
          <w:tcPr>
            <w:tcW w:w="1770" w:type="dxa"/>
            <w:tcBorders>
              <w:start w:val="single" w:sz="4" w:space="0" w:color="000000"/>
              <w:bottom w:val="single" w:sz="2"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bottom w:val="single" w:sz="2"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c>
          <w:tcPr>
            <w:tcW w:w="1800" w:type="dxa"/>
            <w:tcBorders>
              <w:start w:val="single" w:sz="4" w:space="0" w:color="000000"/>
              <w:bottom w:val="single" w:sz="2"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end"/>
              <w:rPr>
                <w:rFonts w:ascii="Arial" w:hAnsi="Arial" w:cs="Arial"/>
                <w:sz w:val="18"/>
              </w:rPr>
            </w:pPr>
            <w:r>
              <w:rPr>
                <w:rFonts w:cs="Arial" w:ascii="Arial" w:hAnsi="Arial"/>
                <w:sz w:val="18"/>
              </w:rPr>
            </w:r>
          </w:p>
        </w:tc>
        <w:tc>
          <w:tcPr>
            <w:tcW w:w="180" w:type="dxa"/>
            <w:tcBorders>
              <w:bottom w:val="single" w:sz="2"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start"/>
              <w:rPr>
                <w:rFonts w:ascii="Arial" w:hAnsi="Arial" w:cs="Arial"/>
                <w:sz w:val="18"/>
              </w:rPr>
            </w:pPr>
            <w:r>
              <w:rPr>
                <w:rFonts w:cs="Arial" w:ascii="Arial" w:hAnsi="Arial"/>
                <w:sz w:val="1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Arial" w:hAnsi="Arial" w:cs="Arial"/>
          <w:sz w:val="20"/>
        </w:rPr>
      </w:pPr>
      <w:r>
        <w:rPr>
          <w:rFonts w:cs="Arial" w:ascii="Arial" w:hAnsi="Arial"/>
          <w:sz w:val="20"/>
        </w:rPr>
        <w:t>a    Total paid through CAO 32 received in March of $2,100,000 of work progress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Arial" w:hAnsi="Arial" w:cs="Arial"/>
          <w:sz w:val="20"/>
        </w:rPr>
      </w:pPr>
      <w:r>
        <w:rPr>
          <w:rFonts w:cs="Arial" w:ascii="Arial" w:hAnsi="Arial"/>
          <w:sz w:val="20"/>
        </w:rPr>
        <w:t>b    Interest capitalized through March 2000.</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Arial" w:hAnsi="Arial" w:cs="Arial"/>
          <w:sz w:val="20"/>
        </w:rPr>
      </w:pPr>
      <w:r>
        <w:rPr>
          <w:rFonts w:cs="Arial" w:ascii="Arial" w:hAnsi="Arial"/>
          <w:sz w:val="20"/>
        </w:rPr>
        <w:t>c    Per EPC/APC Resolution</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Arial" w:hAnsi="Arial" w:cs="Arial"/>
          <w:sz w:val="20"/>
        </w:rPr>
      </w:pPr>
      <w:r>
        <w:rPr>
          <w:rFonts w:cs="Arial" w:ascii="Arial" w:hAnsi="Arial"/>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Arial" w:hAnsi="Arial" w:cs="Arial"/>
          <w:sz w:val="20"/>
        </w:rPr>
      </w:pPr>
      <w:r>
        <w:rPr>
          <w:rFonts w:cs="Arial" w:ascii="Arial" w:hAnsi="Arial"/>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7.05</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RELATED PARTY CONTRACTS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t>[To come.]</w:t>
      </w:r>
    </w:p>
    <w:sectPr>
      <w:headerReference w:type="default" r:id="rId16"/>
      <w:headerReference w:type="first" r:id="rId17"/>
      <w:footerReference w:type="default" r:id="rId18"/>
      <w:footerReference w:type="first" r:id="rId19"/>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Houston:284639 v 1</w:t>
    </w:r>
  </w:p>
  <w:p>
    <w:pPr>
      <w:pStyle w:val="Footer"/>
      <w:rPr>
        <w:sz w:val="16"/>
      </w:rPr>
    </w:pPr>
    <w:r>
      <w:rPr>
        <w:sz w:val="16"/>
      </w:rPr>
      <w:t>GTB</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Houston:284639 v 1</w:t>
    </w:r>
  </w:p>
  <w:p>
    <w:pPr>
      <w:pStyle w:val="Footer"/>
      <w:rPr>
        <w:sz w:val="16"/>
      </w:rPr>
    </w:pPr>
    <w:r>
      <w:rPr>
        <w:sz w:val="16"/>
      </w:rPr>
      <w:t>GTB</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Houston:284639 v 1</w:t>
    </w:r>
  </w:p>
  <w:p>
    <w:pPr>
      <w:pStyle w:val="Footer"/>
      <w:rPr>
        <w:sz w:val="16"/>
      </w:rPr>
    </w:pPr>
    <w:r>
      <w:rPr>
        <w:sz w:val="16"/>
      </w:rPr>
      <w:t>GTB</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Houston:284639 v 1</w:t>
    </w:r>
  </w:p>
  <w:p>
    <w:pPr>
      <w:pStyle w:val="Footer"/>
      <w:rPr>
        <w:sz w:val="16"/>
      </w:rPr>
    </w:pPr>
    <w:r>
      <w:rPr>
        <w:sz w:val="16"/>
      </w:rPr>
      <w:t>GTB</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Houston:284639 v 1</w:t>
    </w:r>
  </w:p>
  <w:p>
    <w:pPr>
      <w:pStyle w:val="Footer"/>
      <w:rPr>
        <w:sz w:val="16"/>
      </w:rPr>
    </w:pPr>
    <w:r>
      <w:rPr>
        <w:sz w:val="16"/>
      </w:rPr>
      <w:t>GTB</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GTB Draft</w:t>
    </w:r>
  </w:p>
  <w:p>
    <w:pPr>
      <w:pStyle w:val="Header"/>
      <w:jc w:val="end"/>
      <w:rPr>
        <w:b/>
      </w:rPr>
    </w:pPr>
    <w:r>
      <w:rPr>
        <w:b/>
      </w:rPr>
      <w:t>July 31,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GTB Draft</w:t>
    </w:r>
  </w:p>
  <w:p>
    <w:pPr>
      <w:pStyle w:val="Header"/>
      <w:jc w:val="end"/>
      <w:rPr>
        <w:b/>
      </w:rPr>
    </w:pPr>
    <w:r>
      <w:rPr>
        <w:b/>
      </w:rPr>
      <w:t>July 31,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GTB Draft</w:t>
    </w:r>
  </w:p>
  <w:p>
    <w:pPr>
      <w:pStyle w:val="Header"/>
      <w:jc w:val="end"/>
      <w:rPr>
        <w:b/>
      </w:rPr>
    </w:pPr>
    <w:r>
      <w:rPr>
        <w:b/>
      </w:rPr>
      <w:t>July 31,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GTB Draft</w:t>
    </w:r>
  </w:p>
  <w:p>
    <w:pPr>
      <w:pStyle w:val="Header"/>
      <w:jc w:val="end"/>
      <w:rPr>
        <w:b/>
      </w:rPr>
    </w:pPr>
    <w:r>
      <w:rPr>
        <w:b/>
      </w:rPr>
      <w:t>July 31, 2000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GTB Draft</w:t>
    </w:r>
  </w:p>
  <w:p>
    <w:pPr>
      <w:pStyle w:val="Header"/>
      <w:jc w:val="end"/>
      <w:rPr>
        <w:b/>
      </w:rPr>
    </w:pPr>
    <w:r>
      <w:rPr>
        <w:b/>
      </w:rPr>
      <w:t>July 31, 2000</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2000-07-31T23:26:00Z</dcterms:created>
  <dc:creator>Vinson &amp; Elkins L.L.P.</dc:creator>
  <dc:description/>
  <dc:language>en-CA</dc:language>
  <cp:lastModifiedBy>Linda S. DiFeo</cp:lastModifiedBy>
  <cp:lastPrinted>2000-07-31T20:56:00Z</cp:lastPrinted>
  <dcterms:modified xsi:type="dcterms:W3CDTF">2000-07-31T23:26:00Z</dcterms:modified>
  <cp:revision>2</cp:revision>
  <dc:subject/>
  <dc:title>SCHEDULE 4</dc:title>
</cp:coreProperties>
</file>