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Summary of Tuesday 5 pm Meeting on DWR contracts</w:t>
      </w:r>
    </w:p>
    <w:p>
      <w:pPr>
        <w:pStyle w:val="Normal"/>
        <w:rPr/>
      </w:pPr>
      <w:r>
        <w:rPr/>
      </w:r>
    </w:p>
    <w:p>
      <w:pPr>
        <w:pStyle w:val="Normal"/>
        <w:rPr/>
      </w:pPr>
      <w:r>
        <w:rPr/>
        <w:t>Attendees:</w:t>
      </w:r>
    </w:p>
    <w:p>
      <w:pPr>
        <w:pStyle w:val="Normal"/>
        <w:rPr/>
      </w:pPr>
      <w:r>
        <w:rPr/>
        <w:t>Guy Phillips, Consultant to Fred Keeley</w:t>
      </w:r>
    </w:p>
    <w:p>
      <w:pPr>
        <w:pStyle w:val="Normal"/>
        <w:rPr/>
      </w:pPr>
      <w:r>
        <w:rPr/>
        <w:t>Bob Albergotti and his colleague, Haynes and Boone</w:t>
      </w:r>
    </w:p>
    <w:p>
      <w:pPr>
        <w:pStyle w:val="Normal"/>
        <w:rPr/>
      </w:pPr>
      <w:r>
        <w:rPr/>
        <w:t>Barbara Lloyd (Deputy Treasurer)</w:t>
      </w:r>
    </w:p>
    <w:p>
      <w:pPr>
        <w:pStyle w:val="Normal"/>
        <w:rPr/>
      </w:pPr>
      <w:r>
        <w:rPr/>
        <w:t>Michael Hoffman, Blackstone Group</w:t>
      </w:r>
    </w:p>
    <w:p>
      <w:pPr>
        <w:pStyle w:val="Normal"/>
        <w:rPr/>
      </w:pPr>
      <w:r>
        <w:rPr/>
        <w:t>Carl Peckman, Power Economics</w:t>
      </w:r>
    </w:p>
    <w:p>
      <w:pPr>
        <w:pStyle w:val="Normal"/>
        <w:rPr/>
      </w:pPr>
      <w:r>
        <w:rPr/>
        <w:t>Nathan Brostrom, JP Morgan</w:t>
      </w:r>
    </w:p>
    <w:p>
      <w:pPr>
        <w:pStyle w:val="Normal"/>
        <w:rPr/>
      </w:pPr>
      <w:r>
        <w:rPr/>
        <w:t>Matt Davis, CSFB (by phone)</w:t>
      </w:r>
    </w:p>
    <w:p>
      <w:pPr>
        <w:pStyle w:val="Normal"/>
        <w:rPr/>
      </w:pPr>
      <w:r>
        <w:rPr/>
        <w:t>Kevin Savelli, Hawker, Delafield (Bond Counsel)</w:t>
      </w:r>
    </w:p>
    <w:p>
      <w:pPr>
        <w:pStyle w:val="Normal"/>
        <w:rPr/>
      </w:pPr>
      <w:r>
        <w:rPr/>
        <w:t>Barbara Barkovich</w:t>
      </w:r>
    </w:p>
    <w:p>
      <w:pPr>
        <w:pStyle w:val="Normal"/>
        <w:rPr/>
      </w:pPr>
      <w:r>
        <w:rPr/>
        <w:t>Bill Marcus</w:t>
      </w:r>
    </w:p>
    <w:p>
      <w:pPr>
        <w:pStyle w:val="Normal"/>
        <w:rPr/>
      </w:pPr>
      <w:r>
        <w:rPr/>
        <w:t>One other guy at end of table whose name I did not get</w:t>
      </w:r>
    </w:p>
    <w:p>
      <w:pPr>
        <w:pStyle w:val="Normal"/>
        <w:rPr/>
      </w:pPr>
      <w:r>
        <w:rPr/>
      </w:r>
    </w:p>
    <w:p>
      <w:pPr>
        <w:pStyle w:val="Normal"/>
        <w:rPr/>
      </w:pPr>
      <w:r>
        <w:rPr/>
        <w:t xml:space="preserve">The initial discussion centered around the structure of the Power Fund, per AB 1X.  Treasury indicated that the fund covers both power and debt financing, per AB 1X.  There is one fund for all DWR costs and it would require a change in statute to segment the fund.  Treasury said that it believes that it has neither legislative </w:t>
      </w:r>
      <w:r>
        <w:rPr>
          <w:i/>
          <w:iCs/>
        </w:rPr>
        <w:t>nor contract</w:t>
      </w:r>
      <w:r>
        <w:rPr/>
        <w:t xml:space="preserve"> authority to divide up the contracts or the debt service among groups of customers. Such an action would also undermine the contracts.  Guy Phillips indicated that this was not the intent of the legislation.  Treasury said this was its interpretation of the same legislation.</w:t>
      </w:r>
    </w:p>
    <w:p>
      <w:pPr>
        <w:pStyle w:val="Normal"/>
        <w:rPr/>
      </w:pPr>
      <w:r>
        <w:rPr/>
      </w:r>
    </w:p>
    <w:p>
      <w:pPr>
        <w:pStyle w:val="Normal"/>
        <w:rPr/>
      </w:pPr>
      <w:r>
        <w:rPr/>
        <w:t>With respect to the DWR power going only to large customers in the future, Treasury said it has assumed that it could not rewrite the statute and the statute says that the power is for all customers.  Guy Phillips said that the Speaker only called for this during the transition period.  (There seems to be a difference in interpretation again here.)  Phillips  expected that, with Sunrise, the core would not need any of the DWR power, except for peaking.</w:t>
      </w:r>
    </w:p>
    <w:p>
      <w:pPr>
        <w:pStyle w:val="Normal"/>
        <w:rPr/>
      </w:pPr>
      <w:r>
        <w:rPr/>
      </w:r>
    </w:p>
    <w:p>
      <w:pPr>
        <w:pStyle w:val="Normal"/>
        <w:rPr/>
      </w:pPr>
      <w:r>
        <w:rPr/>
        <w:t>Treasury also said that the statute does not allow for a nonbypassable charge for debt service, but that there could be one if the generators agreed to it or if there were a statutory change.  Someone said that a nonbypassable charge for debt service could eliminate that credit issue.  It was not clear why the CPUC could not adopt a nonbypassable charge without a statute.  This latter issue was not fully vetted.</w:t>
      </w:r>
    </w:p>
    <w:p>
      <w:pPr>
        <w:pStyle w:val="Normal"/>
        <w:rPr/>
      </w:pPr>
      <w:r>
        <w:rPr/>
      </w:r>
    </w:p>
    <w:p>
      <w:pPr>
        <w:pStyle w:val="Normal"/>
        <w:rPr/>
      </w:pPr>
      <w:r>
        <w:rPr/>
        <w:t xml:space="preserve">Treasury argued that changes to who paid for what would require a new securitization of the bonds, but not the contracts.  Guy Philips emphasized that the Speaker expected </w:t>
      </w:r>
      <w:r>
        <w:rPr>
          <w:i/>
          <w:iCs/>
        </w:rPr>
        <w:t>all</w:t>
      </w:r>
      <w:r>
        <w:rPr/>
        <w:t xml:space="preserve"> customers to pay for the bonds.  He did not respond favorably to a shift in responsibility among customers for these payments.</w:t>
      </w:r>
    </w:p>
    <w:p>
      <w:pPr>
        <w:pStyle w:val="Normal"/>
        <w:rPr/>
      </w:pPr>
      <w:r>
        <w:rPr/>
      </w:r>
    </w:p>
    <w:p>
      <w:pPr>
        <w:pStyle w:val="Normal"/>
        <w:rPr/>
      </w:pPr>
      <w:r>
        <w:rPr/>
        <w:t>The money received from ratepayers goes first to power costs and then to debt service.  DWR can only charge for delivery of power, not for debt service alone.  Most contracts say that the power purchases are O&amp;M and are paid before debt service.  This results from a credit concern of the generators that continues.</w:t>
      </w:r>
    </w:p>
    <w:p>
      <w:pPr>
        <w:pStyle w:val="Normal"/>
        <w:rPr/>
      </w:pPr>
      <w:r>
        <w:rPr/>
      </w:r>
    </w:p>
    <w:p>
      <w:pPr>
        <w:pStyle w:val="Normal"/>
        <w:rPr/>
      </w:pPr>
      <w:r>
        <w:rPr/>
        <w:t>We then discussed why DWR had to go so long for so much power.  Treasury said it also understood that this was necessary to get power for the next 18 months.</w:t>
      </w:r>
    </w:p>
    <w:p>
      <w:pPr>
        <w:pStyle w:val="Normal"/>
        <w:rPr/>
      </w:pPr>
      <w:r>
        <w:rPr/>
      </w:r>
    </w:p>
    <w:p>
      <w:pPr>
        <w:pStyle w:val="Normal"/>
        <w:rPr/>
      </w:pPr>
      <w:r>
        <w:rPr/>
        <w:t xml:space="preserve">Phillips said that the issues of the length and cost of the DWR contracts and the issue of stranded costs had been left to be resolved and had not been addressed by the Speaker.  The Speaker was, however, growing more concerned about the DWR contracts.  Phillips said that there were different options as to how to treat the overhang of the long term DWR contracts.  He said one option was that the DWR contracts could be assignable to noncore customers as part of direct access and that the DWR could become an ESP.  Treasury expressed doubts about DWR participating in the retail market. Phillips said that the Speaker did not want the noncore to continue to buy from the UDCs, but that they could subsequently buy from either DWR or the market.  I raised the issue of an obligation for the DWR stranded costs (issue left unresolved).  No one in the room thought DWR should sign any more long term contracts (i.e. go forward with the AIPs) even though they were better deals that the ones that had been signed.  Someone said that DWR could get out of the </w:t>
      </w:r>
      <w:r>
        <w:rPr>
          <w:i/>
          <w:iCs/>
        </w:rPr>
        <w:t>existing</w:t>
      </w:r>
      <w:r>
        <w:rPr/>
        <w:t xml:space="preserve"> contracts, but at a price, and that this would expose it to more spot market risk.  This, in turn, would place more demands on the bond financing.</w:t>
      </w:r>
    </w:p>
    <w:p>
      <w:pPr>
        <w:pStyle w:val="Normal"/>
        <w:rPr/>
      </w:pPr>
      <w:r>
        <w:rPr/>
      </w:r>
    </w:p>
    <w:p>
      <w:pPr>
        <w:pStyle w:val="Normal"/>
        <w:rPr/>
      </w:pPr>
      <w:r>
        <w:rPr/>
        <w:t>Treasury reported that once the marketing of the bonds has begun, the contracts, the provisions of AB 1X, etc, should not change.  (Implication—clean-up of problems with AB 1X would delay financing and upset the marketing ptich.)  More exposure to the spot market could unravel the contracts.  The long term contacts are the main source of security for the financing.  (not clear why this is not payment by customers)  Any contract renegotiation would require new modelling by Navigant before the bonds could be sold.  Delays in financing will hurt the budget.  Not clear can get a supermajority for any changes, which means more delays.</w:t>
      </w:r>
    </w:p>
    <w:p>
      <w:pPr>
        <w:pStyle w:val="Normal"/>
        <w:ind w:hanging="720" w:start="720" w:end="0"/>
        <w:rPr/>
      </w:pPr>
      <w:r>
        <w:rPr/>
      </w:r>
    </w:p>
    <w:p>
      <w:pPr>
        <w:pStyle w:val="Normal"/>
        <w:rPr/>
      </w:pPr>
      <w:r>
        <w:rPr/>
        <w:t xml:space="preserve">We asked for some analysis of how much direct access ands self-generation could be sustained without serious problems.  There appeared to be general agreement that self-generation had been encouraged by legislation and some had to go forward.  No one was sure how much DA or self-generation could be sustained, but they implied they would continue to consider this issue. When asked how much customers wanted DA, I pointed out that customers would need to know what exit costs would attach to these options before them would pursue them, but that they </w:t>
      </w:r>
      <w:r>
        <w:rPr>
          <w:i/>
          <w:iCs/>
        </w:rPr>
        <w:t>did</w:t>
      </w:r>
      <w:r>
        <w:rPr/>
        <w:t xml:space="preserve"> want a DA option.</w:t>
      </w:r>
    </w:p>
    <w:p>
      <w:pPr>
        <w:pStyle w:val="Normal"/>
        <w:ind w:hanging="720" w:start="720" w:end="0"/>
        <w:rPr/>
      </w:pPr>
      <w:r>
        <w:rPr/>
      </w:r>
    </w:p>
    <w:p>
      <w:pPr>
        <w:pStyle w:val="Normal"/>
        <w:rPr/>
      </w:pPr>
      <w:r>
        <w:rPr/>
        <w:t>Conclusion: Core/noncore (i.e. splitting up the power portfolio and/or DWR debt service) is very problematic.</w:t>
      </w:r>
    </w:p>
    <w:p>
      <w:pPr>
        <w:pStyle w:val="Normal"/>
        <w:rPr/>
      </w:pPr>
      <w:r>
        <w:rPr/>
      </w:r>
    </w:p>
    <w:p>
      <w:pPr>
        <w:pStyle w:val="Normal"/>
        <w:rPr/>
      </w:pPr>
      <w:r>
        <w:rPr/>
        <w:t>Barbara R. Barkovich</w:t>
      </w:r>
    </w:p>
    <w:p>
      <w:pPr>
        <w:pStyle w:val="Normal"/>
        <w:rPr/>
      </w:pPr>
      <w:r>
        <w:rPr/>
        <w:t xml:space="preserve">Ps I think this is accurate but I would welcome feedback from the others at the meeting.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2001-06-13T12:55:00Z</dcterms:created>
  <dc:creator>Valued Gateway Client</dc:creator>
  <dc:description/>
  <dc:language>en-CA</dc:language>
  <cp:lastModifiedBy>Valued Gateway Client</cp:lastModifiedBy>
  <cp:lastPrinted>2001-06-13T09:21:00Z</cp:lastPrinted>
  <dcterms:modified xsi:type="dcterms:W3CDTF">2001-06-13T14:08:00Z</dcterms:modified>
  <cp:revision>3</cp:revision>
  <dc:subject/>
  <dc:title>Summary of Tuesday 5 pm Meeting</dc:title>
</cp:coreProperties>
</file>