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SUMMARY OF SPA AND LEASE QUESTIONS</w:t>
      </w:r>
    </w:p>
    <w:p>
      <w:pPr>
        <w:pStyle w:val="Heading"/>
        <w:rPr>
          <w:sz w:val="28"/>
        </w:rPr>
      </w:pPr>
      <w:r>
        <w:rPr>
          <w:sz w:val="28"/>
        </w:rPr>
      </w:r>
    </w:p>
    <w:p>
      <w:pPr>
        <w:pStyle w:val="Heading"/>
        <w:rPr/>
      </w:pPr>
      <w:r>
        <w:rPr/>
      </w:r>
    </w:p>
    <w:p>
      <w:pPr>
        <w:pStyle w:val="Heading"/>
        <w:rPr/>
      </w:pPr>
      <w:r>
        <w:rPr/>
      </w:r>
    </w:p>
    <w:p>
      <w:pPr>
        <w:pStyle w:val="Heading"/>
        <w:rPr/>
      </w:pPr>
      <w:r>
        <w:rPr/>
        <w:t>STEAM CONTRACT</w:t>
      </w:r>
    </w:p>
    <w:p>
      <w:pPr>
        <w:pStyle w:val="Normal"/>
        <w:jc w:val="center"/>
        <w:rPr>
          <w:b/>
          <w:bCs/>
        </w:rPr>
      </w:pPr>
      <w:r>
        <w:rPr>
          <w:b/>
          <w:bCs/>
        </w:rPr>
      </w:r>
    </w:p>
    <w:p>
      <w:pPr>
        <w:pStyle w:val="Normal"/>
        <w:numPr>
          <w:ilvl w:val="0"/>
          <w:numId w:val="2"/>
        </w:numPr>
        <w:tabs>
          <w:tab w:val="clear" w:pos="720"/>
          <w:tab w:val="left" w:pos="360" w:leader="none"/>
        </w:tabs>
        <w:spacing w:before="0" w:after="120"/>
        <w:ind w:hanging="360" w:start="360" w:end="0"/>
        <w:jc w:val="both"/>
        <w:rPr/>
      </w:pPr>
      <w:r>
        <w:rPr/>
        <w:t xml:space="preserve">Section 3.1 (d),  Suggest a Termination of the Steam Contract if ENA elects to permanently shut down Power Plant operations.  A new Section 3.1 d), which would be the corollary to AKF’s 3.1c) termination for Steam Purchaser Plant Closure.  ENA could agree to leave steam generation facilities in place so that AKF could continue own steam production.  This mitigates SP’s Cost of Cover remedy for up to 306,000,000 lbs. per year (2,448,000,000) over initial term.  </w:t>
      </w:r>
      <w:r>
        <w:rPr>
          <w:b/>
          <w:bCs/>
        </w:rPr>
        <w:t>Glenn has proposed that we add an SPA termination right that kicks in if ENA permanently ceases to sell power from a plant (or cease to operate the generation facilities).  There would be no Termination Payment owed in this case, but we would have to convey Steam Generation Facilities at no cost.  Also, Glenn is considering the development of a different valuation mechanism for determining “SP’s Cost of Cover”, which would actually consist of a curve, with such amount being greater in the early years and a smaller amount in later years.</w:t>
      </w:r>
    </w:p>
    <w:p>
      <w:pPr>
        <w:pStyle w:val="Normal"/>
        <w:numPr>
          <w:ilvl w:val="0"/>
          <w:numId w:val="2"/>
        </w:numPr>
        <w:tabs>
          <w:tab w:val="clear" w:pos="720"/>
          <w:tab w:val="left" w:pos="360" w:leader="none"/>
        </w:tabs>
        <w:spacing w:before="0" w:after="120"/>
        <w:ind w:hanging="360" w:start="360" w:end="0"/>
        <w:jc w:val="both"/>
        <w:rPr/>
      </w:pPr>
      <w:r>
        <w:rPr/>
        <w:t xml:space="preserve">Section 3.2 (a) ¶ following (iii).  It is odd that AKF has a termination right if ENA has a Force Majeure lasting &gt; than 90 days, </w:t>
      </w:r>
      <w:r>
        <w:rPr>
          <w:u w:val="single"/>
        </w:rPr>
        <w:t>but</w:t>
      </w:r>
      <w:r>
        <w:rPr/>
        <w:t xml:space="preserve"> no termination right if we breach the Steam Contract (with impunity or otherwise).  The unanswered question, which I am presuming George Masterson will raise before we are done with Section 3.2 (a), is what remedy AKF should be entitled to in the event of termination due to Force Majeure.  </w:t>
      </w:r>
      <w:r>
        <w:rPr>
          <w:b/>
          <w:bCs/>
        </w:rPr>
        <w:t>Glenn confirmed that ENA’s position is $0 Termination Payment costs.</w:t>
      </w:r>
      <w:r>
        <w:rPr/>
        <w:t xml:space="preserve"> </w:t>
      </w:r>
    </w:p>
    <w:p>
      <w:pPr>
        <w:pStyle w:val="Normal"/>
        <w:numPr>
          <w:ilvl w:val="0"/>
          <w:numId w:val="2"/>
        </w:numPr>
        <w:tabs>
          <w:tab w:val="clear" w:pos="720"/>
          <w:tab w:val="left" w:pos="360" w:leader="none"/>
        </w:tabs>
        <w:spacing w:before="0" w:after="120"/>
        <w:ind w:hanging="360" w:start="360" w:end="0"/>
        <w:jc w:val="both"/>
        <w:rPr/>
      </w:pPr>
      <w:r>
        <w:rPr/>
        <w:t xml:space="preserve">ENA  might be better served with a Termination Payment/Liquidated Damage concept rather than the ongoing obligation to pay the AKF controlled SP Cost of Cover in the event of ENA’s non-performance due to an Non-Force Majeure issue.  </w:t>
      </w:r>
      <w:r>
        <w:rPr>
          <w:b/>
          <w:bCs/>
        </w:rPr>
        <w:t>Glenn is considering this concept in conjunction with the matter discussed in 2. above.</w:t>
      </w:r>
    </w:p>
    <w:p>
      <w:pPr>
        <w:pStyle w:val="Normal"/>
        <w:numPr>
          <w:ilvl w:val="0"/>
          <w:numId w:val="2"/>
        </w:numPr>
        <w:tabs>
          <w:tab w:val="clear" w:pos="720"/>
          <w:tab w:val="left" w:pos="360" w:leader="none"/>
        </w:tabs>
        <w:spacing w:before="0" w:after="120"/>
        <w:ind w:hanging="360" w:start="360" w:end="0"/>
        <w:jc w:val="both"/>
        <w:rPr/>
      </w:pPr>
      <w:r>
        <w:rPr/>
        <w:t xml:space="preserve">Section 8.3 Limitation on Damages.  Is there any reason to maintain the carveouts in the consequential damage waiver now that ENA’s retention of QF status is not an issue?  </w:t>
      </w:r>
      <w:r>
        <w:rPr>
          <w:b/>
          <w:bCs/>
        </w:rPr>
        <w:t>Glenn does not think so; would be willing to delete 8.3(b) in trade for deleting 8.3(c).</w:t>
      </w:r>
    </w:p>
    <w:p>
      <w:pPr>
        <w:pStyle w:val="Normal"/>
        <w:numPr>
          <w:ilvl w:val="0"/>
          <w:numId w:val="2"/>
        </w:numPr>
        <w:tabs>
          <w:tab w:val="clear" w:pos="720"/>
          <w:tab w:val="left" w:pos="360" w:leader="none"/>
        </w:tabs>
        <w:spacing w:before="0" w:after="120"/>
        <w:ind w:hanging="360" w:start="360" w:end="0"/>
        <w:jc w:val="both"/>
        <w:rPr/>
      </w:pPr>
      <w:r>
        <w:rPr/>
        <w:t xml:space="preserve">Section 9.2 Extension of Term due to Force Majeure.  Do we want the term extended in this case?  If so, we need to be sure Lease is contemporaneously extended.  There’s a trickle down to all other related contracts:  Coal Supply, Cogentrix railroad track lease and trucking contracts, etc.  </w:t>
      </w:r>
      <w:r>
        <w:rPr>
          <w:b/>
          <w:bCs/>
        </w:rPr>
        <w:t xml:space="preserve">Glenn does not want the term to extend for Force Majeure.  Likewise, the Lease term needs </w:t>
      </w:r>
      <w:r>
        <w:rPr>
          <w:b/>
          <w:bCs/>
          <w:u w:val="single"/>
        </w:rPr>
        <w:t xml:space="preserve">not </w:t>
      </w:r>
      <w:r>
        <w:rPr>
          <w:b/>
          <w:bCs/>
        </w:rPr>
        <w:t>extend due to FM.</w:t>
      </w:r>
    </w:p>
    <w:p>
      <w:pPr>
        <w:pStyle w:val="Normal"/>
        <w:numPr>
          <w:ilvl w:val="0"/>
          <w:numId w:val="2"/>
        </w:numPr>
        <w:tabs>
          <w:tab w:val="clear" w:pos="720"/>
          <w:tab w:val="left" w:pos="360" w:leader="none"/>
        </w:tabs>
        <w:spacing w:before="0" w:after="120"/>
        <w:ind w:hanging="360" w:start="360" w:end="0"/>
        <w:jc w:val="both"/>
        <w:rPr/>
      </w:pPr>
      <w:r>
        <w:rPr/>
        <w:t>Section 10.10 Assignment.  I’ve talked to Bracewell about need to modify this section in order to better afford flexibility for selldown.</w:t>
      </w:r>
      <w:r>
        <w:br w:type="page"/>
      </w:r>
    </w:p>
    <w:p>
      <w:pPr>
        <w:pStyle w:val="Normal"/>
        <w:spacing w:before="0" w:after="120"/>
        <w:jc w:val="center"/>
        <w:rPr>
          <w:b/>
          <w:bCs/>
        </w:rPr>
      </w:pPr>
      <w:r>
        <w:rPr>
          <w:b/>
          <w:bCs/>
        </w:rPr>
        <w:t>GROUNDLEASE</w:t>
      </w:r>
    </w:p>
    <w:p>
      <w:pPr>
        <w:pStyle w:val="Normal"/>
        <w:spacing w:before="0" w:after="120"/>
        <w:jc w:val="center"/>
        <w:rPr>
          <w:b/>
          <w:bCs/>
        </w:rPr>
      </w:pPr>
      <w:r>
        <w:rPr>
          <w:b/>
          <w:bCs/>
        </w:rPr>
      </w:r>
    </w:p>
    <w:p>
      <w:pPr>
        <w:pStyle w:val="Normal"/>
        <w:numPr>
          <w:ilvl w:val="0"/>
          <w:numId w:val="3"/>
        </w:numPr>
        <w:tabs>
          <w:tab w:val="clear" w:pos="720"/>
          <w:tab w:val="left" w:pos="360" w:leader="none"/>
        </w:tabs>
        <w:spacing w:before="0" w:after="120"/>
        <w:ind w:hanging="360" w:start="360" w:end="0"/>
        <w:jc w:val="both"/>
        <w:rPr/>
      </w:pPr>
      <w:r>
        <w:rPr/>
        <w:t xml:space="preserve">Railroad Lease.  We need to be able negotiate terms of this arrangement, as well as Cogentrix/Reuse Technologies Coal Handling and Trucking Arrangement with Cogentrix.  </w:t>
      </w:r>
      <w:r>
        <w:rPr>
          <w:b/>
          <w:bCs/>
        </w:rPr>
        <w:t>These matters need to be addressed as Conditions Precedents in the Cogentrix/Alamac Securities Agreement.</w:t>
      </w:r>
    </w:p>
    <w:p>
      <w:pPr>
        <w:pStyle w:val="Normal"/>
        <w:numPr>
          <w:ilvl w:val="0"/>
          <w:numId w:val="3"/>
        </w:numPr>
        <w:tabs>
          <w:tab w:val="clear" w:pos="720"/>
          <w:tab w:val="left" w:pos="360" w:leader="none"/>
        </w:tabs>
        <w:spacing w:before="0" w:after="120"/>
        <w:ind w:hanging="360" w:start="360" w:end="0"/>
        <w:jc w:val="both"/>
        <w:rPr/>
      </w:pPr>
      <w:r>
        <w:rPr/>
        <w:t>Easements Section 2.2.  They appear more a “burden” than a right.  Need to know where they run in relation to the Land and to AKF’s property.</w:t>
      </w:r>
    </w:p>
    <w:p>
      <w:pPr>
        <w:pStyle w:val="Normal"/>
        <w:numPr>
          <w:ilvl w:val="0"/>
          <w:numId w:val="3"/>
        </w:numPr>
        <w:tabs>
          <w:tab w:val="clear" w:pos="720"/>
          <w:tab w:val="left" w:pos="360" w:leader="none"/>
        </w:tabs>
        <w:spacing w:before="0" w:after="120"/>
        <w:ind w:hanging="360" w:start="360" w:end="0"/>
        <w:jc w:val="both"/>
        <w:rPr/>
      </w:pPr>
      <w:r>
        <w:rPr/>
        <w:t xml:space="preserve">Raw Water Section 2.3.  Do we need a spec. for this?  I’m concerned that AKF could require us to supply Steam at times when water does not meet specification for use in our boilers.  </w:t>
      </w:r>
      <w:r>
        <w:rPr>
          <w:b/>
          <w:bCs/>
        </w:rPr>
        <w:t>Glenn and I discussed the need for there to be a minimum raw water quality specification in the lease, so that breach is created under the Lease (rather than a FM under the SPA), if Alamac in the future delivers raw water of an unacceptable quality for use in the plant and boilers.</w:t>
      </w:r>
    </w:p>
    <w:p>
      <w:pPr>
        <w:pStyle w:val="Normal"/>
        <w:numPr>
          <w:ilvl w:val="0"/>
          <w:numId w:val="3"/>
        </w:numPr>
        <w:tabs>
          <w:tab w:val="clear" w:pos="720"/>
          <w:tab w:val="left" w:pos="360" w:leader="none"/>
        </w:tabs>
        <w:spacing w:before="0" w:after="120"/>
        <w:ind w:hanging="360" w:start="360" w:end="0"/>
        <w:jc w:val="both"/>
        <w:rPr/>
      </w:pPr>
      <w:r>
        <w:rPr/>
        <w:t xml:space="preserve">Raw Water Delivery Point Section 2.3.  What is that point?  How do we see it being described?  </w:t>
      </w:r>
      <w:r>
        <w:rPr>
          <w:b/>
          <w:bCs/>
        </w:rPr>
        <w:t>Need a description of Wells, pipelines and pumps</w:t>
      </w:r>
    </w:p>
    <w:p>
      <w:pPr>
        <w:pStyle w:val="Normal"/>
        <w:numPr>
          <w:ilvl w:val="0"/>
          <w:numId w:val="3"/>
        </w:numPr>
        <w:tabs>
          <w:tab w:val="clear" w:pos="720"/>
          <w:tab w:val="left" w:pos="360" w:leader="none"/>
        </w:tabs>
        <w:spacing w:before="0" w:after="120"/>
        <w:ind w:hanging="360" w:start="360" w:end="0"/>
        <w:jc w:val="both"/>
        <w:rPr/>
      </w:pPr>
      <w:r>
        <w:rPr/>
        <w:t>Limitation on AKF’s Environmental Indemnification Right Section 4.6.  Jay Sonnennburg is to check Cogentrix Ground Lease to make sure: (i) its termination does not terminate indemnification obligations and (ii) Cogentix environmental indemnification obligations are meaningful.  There’s a direct creditworthiness issue here.</w:t>
      </w:r>
    </w:p>
    <w:p>
      <w:pPr>
        <w:pStyle w:val="Normal"/>
        <w:numPr>
          <w:ilvl w:val="0"/>
          <w:numId w:val="3"/>
        </w:numPr>
        <w:tabs>
          <w:tab w:val="clear" w:pos="720"/>
          <w:tab w:val="left" w:pos="360" w:leader="none"/>
        </w:tabs>
        <w:spacing w:before="0" w:after="120"/>
        <w:ind w:hanging="360" w:start="360" w:end="0"/>
        <w:jc w:val="both"/>
        <w:rPr/>
      </w:pPr>
      <w:r>
        <w:rPr/>
        <w:t>Storage Tanks  Section 4.6(c).  Who is checking to see that neither underground not above ground storage tanks are needed to operate a 35 MW coal fired plant?  What about for water?  What about to lube oil or grease?  Whose checking to see that no such tanks have ever existed or will be needed at the Plant sites?  Are we comfortable with seeking AKF’s consent if such tanks are needed in the future?</w:t>
      </w:r>
    </w:p>
    <w:p>
      <w:pPr>
        <w:pStyle w:val="Normal"/>
        <w:numPr>
          <w:ilvl w:val="0"/>
          <w:numId w:val="3"/>
        </w:numPr>
        <w:tabs>
          <w:tab w:val="clear" w:pos="720"/>
          <w:tab w:val="left" w:pos="360" w:leader="none"/>
        </w:tabs>
        <w:spacing w:before="0" w:after="120"/>
        <w:ind w:hanging="360" w:start="360" w:end="0"/>
        <w:jc w:val="both"/>
        <w:rPr>
          <w:b/>
          <w:bCs/>
        </w:rPr>
      </w:pPr>
      <w:r>
        <w:rPr/>
        <w:t xml:space="preserve">Termination Status of Plant.  How do we read Section 5.3?  </w:t>
      </w:r>
      <w:r>
        <w:rPr>
          <w:b/>
          <w:bCs/>
        </w:rPr>
        <w:t>Glenn confirmed that the intent of the parties is that at normal Lease termination (end of initial or renewal term) AKF would have the option to purchase the Facilities at Fair Market Value, determined by independent appraisal, if the parties are unable to agree.  If AKF elected not to purchase the facilities, ENA would have 180 days to remove the Facilities.  Any Facilities remaining at the end of the 180 day period would automatically revert to AKF; however, AKF would still have the right to require ENA to remove the Facilities and remediate.  Bracewell needs to revise this Section accordingly</w:t>
      </w:r>
    </w:p>
    <w:p>
      <w:pPr>
        <w:pStyle w:val="BodyTextIndent2"/>
        <w:rPr>
          <w:b/>
          <w:bCs/>
        </w:rPr>
      </w:pPr>
      <w:r>
        <w:rPr>
          <w:b/>
          <w:bCs/>
        </w:rPr>
        <w:t>David Marshall does not believe that even the foregoing series of rights is sufficient to afford AKF an “insurable interest” in the Facilities, as such interest is generally determined on the basis of who holds invested on lent capital in the Facility.  As AKF hold neither an equity nor an investment position in the Facilities, David does not believe a Property Damage Insurance carrier would agree to name AKF as an “named insured” on such a policy.  Since ENA would preferred to have full control over where casualty insurance proceeds for property losses are paid and spent, I think David’s conclusion is a helpful answer from a negotiating perspective.</w:t>
      </w:r>
    </w:p>
    <w:p>
      <w:pPr>
        <w:pStyle w:val="Normal"/>
        <w:numPr>
          <w:ilvl w:val="0"/>
          <w:numId w:val="3"/>
        </w:numPr>
        <w:tabs>
          <w:tab w:val="clear" w:pos="720"/>
          <w:tab w:val="left" w:pos="360" w:leader="none"/>
        </w:tabs>
        <w:spacing w:before="0" w:after="120"/>
        <w:ind w:hanging="360" w:start="360" w:end="0"/>
        <w:jc w:val="both"/>
        <w:rPr/>
      </w:pPr>
      <w:r>
        <w:rPr/>
        <w:t>Waiver of Subrogation Section 7.2.  I would ask David Marshall to review this language in light of ENA’s current position:  AKF is not to be named an additional insured under our Property Damage and if named an insured under our General Liability policy, will be limited to the extent of ENA’s indemnification obligation.</w:t>
      </w:r>
    </w:p>
    <w:p>
      <w:pPr>
        <w:pStyle w:val="Normal"/>
        <w:numPr>
          <w:ilvl w:val="0"/>
          <w:numId w:val="3"/>
        </w:numPr>
        <w:tabs>
          <w:tab w:val="clear" w:pos="720"/>
          <w:tab w:val="left" w:pos="360" w:leader="none"/>
        </w:tabs>
        <w:spacing w:before="0" w:after="120"/>
        <w:ind w:hanging="360" w:start="360" w:end="0"/>
        <w:jc w:val="both"/>
        <w:rPr/>
      </w:pPr>
      <w:r>
        <w:rPr/>
        <w:t>Section 10.1 Assignment and Transfer.  I’ve talked to Bracewell about need to modify this section in order to better afford flexibility for selldown.</w:t>
      </w:r>
    </w:p>
    <w:p>
      <w:pPr>
        <w:pStyle w:val="Normal"/>
        <w:numPr>
          <w:ilvl w:val="0"/>
          <w:numId w:val="3"/>
        </w:numPr>
        <w:tabs>
          <w:tab w:val="clear" w:pos="720"/>
          <w:tab w:val="left" w:pos="360" w:leader="none"/>
        </w:tabs>
        <w:spacing w:before="0" w:after="120"/>
        <w:ind w:hanging="360" w:start="360" w:end="0"/>
        <w:jc w:val="both"/>
        <w:rPr/>
      </w:pPr>
      <w:r>
        <w:rPr/>
        <w:t>Section 19.4 Force Majeure.  Consistent with Item 5 of the SPA discussion, ENA does not want the Lease term to extend as a result of Force Majeure.</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ATTORNEY/CLIENT PRIVILEGED INFORMATION</w:t>
    </w:r>
  </w:p>
  <w:p>
    <w:pPr>
      <w:pStyle w:val="Header"/>
      <w:jc w:val="end"/>
      <w:rPr/>
    </w:pPr>
    <w:r>
      <w:rPr/>
      <w:t>November 2, 2000</w:t>
    </w:r>
  </w:p>
  <w:p>
    <w:pPr>
      <w:pStyle w:val="Header"/>
      <w:jc w:val="end"/>
      <w:rPr/>
    </w:pPr>
    <w:r>
      <w:rPr/>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b/>
      <w:bCs/>
    </w:rPr>
  </w:style>
  <w:style w:type="paragraph" w:styleId="BodyTextIndent2">
    <w:name w:val="Body Text Indent 2"/>
    <w:basedOn w:val="Normal"/>
    <w:qFormat/>
    <w:pPr>
      <w:spacing w:before="0" w:after="120"/>
      <w:ind w:hanging="0" w:start="3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2000-11-02T12:26:00Z</dcterms:created>
  <dc:creator>svanhoo</dc:creator>
  <dc:description/>
  <dc:language>en-CA</dc:language>
  <cp:lastModifiedBy>svanhoo</cp:lastModifiedBy>
  <cp:lastPrinted>2000-11-02T10:30:00Z</cp:lastPrinted>
  <dcterms:modified xsi:type="dcterms:W3CDTF">2000-11-02T22:02:00Z</dcterms:modified>
  <cp:revision>8</cp:revision>
  <dc:subject/>
  <dc:title>STEAM CONTRACT</dc:title>
</cp:coreProperties>
</file>