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jc w:val="center"/>
        <w:rPr>
          <w:b/>
          <w:bCs/>
        </w:rPr>
      </w:pPr>
      <w:r>
        <w:rPr>
          <w:b/>
          <w:bCs/>
        </w:rPr>
        <w:t>Summary of SIP Allocation Rules</w:t>
      </w:r>
    </w:p>
    <w:tbl>
      <w:tblPr>
        <w:tblW w:w="13500" w:type="dxa"/>
        <w:jc w:val="center"/>
        <w:tblInd w:w="0" w:type="dxa"/>
        <w:tblLayout w:type="fixed"/>
        <w:tblCellMar>
          <w:top w:w="105" w:type="dxa"/>
          <w:start w:w="105" w:type="dxa"/>
          <w:bottom w:w="105" w:type="dxa"/>
          <w:end w:w="105" w:type="dxa"/>
        </w:tblCellMar>
      </w:tblPr>
      <w:tblGrid>
        <w:gridCol w:w="2006"/>
        <w:gridCol w:w="915"/>
        <w:gridCol w:w="949"/>
        <w:gridCol w:w="920"/>
        <w:gridCol w:w="905"/>
        <w:gridCol w:w="1339"/>
        <w:gridCol w:w="1137"/>
        <w:gridCol w:w="1272"/>
        <w:gridCol w:w="1139"/>
        <w:gridCol w:w="2918"/>
      </w:tblGrid>
      <w:tr>
        <w:trPr>
          <w:trHeight w:val="1800" w:hRule="atLeast"/>
        </w:trPr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State</w:t>
            </w:r>
            <w:r>
              <w:rPr/>
              <w:t xml:space="preserve"> 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Rule Status</w:t>
            </w:r>
            <w:r>
              <w:rPr/>
              <w:t xml:space="preserve"> 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Trading Budget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(Tons)</w:t>
            </w:r>
            <w:r>
              <w:rPr/>
              <w:t xml:space="preserve"> 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EGU Budget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(Tons)</w:t>
            </w:r>
            <w:r>
              <w:rPr/>
              <w:t xml:space="preserve"> 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Non-EGU Budget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(Tons)</w:t>
            </w:r>
            <w:r>
              <w:rPr/>
              <w:t xml:space="preserve"> 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Compliance Supplement Pool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(Tons)</w:t>
            </w:r>
            <w:r>
              <w:rPr/>
              <w:t xml:space="preserve"> 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Source Set Aside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(%)</w:t>
            </w:r>
            <w:r>
              <w:rPr/>
              <w:t xml:space="preserve"> 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Energy Efficiency/</w:t>
            </w:r>
          </w:p>
          <w:p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Renewable Set Aside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(%)</w:t>
            </w:r>
            <w:r>
              <w:rPr/>
              <w:t xml:space="preserve"> 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Initial Allocation</w:t>
              <w:br/>
              <w:t>Period</w:t>
            </w:r>
            <w:r>
              <w:rPr/>
              <w:t xml:space="preserve"> 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Subsequent Allocation</w:t>
              <w:br/>
              <w:t>Period</w:t>
            </w:r>
            <w:r>
              <w:rPr/>
              <w:t xml:space="preserve"> 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Alabama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25,497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23,168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2,328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11,687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Amount remaining in retired unit account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3 years for 3-5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Connecticut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4,477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2,559*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months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Delaware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5,227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4,306*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2003-2005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DC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207*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Georgia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Waiting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29,416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10,728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Illinois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35,583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30,701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4,882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17,688*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 ('04-'06), 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Indiana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59,800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45,953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12,096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19,915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 ('04-'06), 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1,141 tons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Kentucky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36,045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13,520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5% ('04-'06), 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3 years for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Maryland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14,519*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3,882*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2003-2005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Biannually 3 and 4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Massachusetts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12,861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14,611*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2003-2005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Michigan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30,243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28,963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1,280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19,915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 ('04-'06), 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3 years, 3 years in advance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Missouri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Waiting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29,506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5,630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New Jersey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28,247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10,384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17,863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1,479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1 year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New York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41,350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30,405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10,945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2,370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5/15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1 year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North Carolina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**see below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31,212*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**see below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10,737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**see below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**see below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5 years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Ohio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47,058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43,160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3,898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22,301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 ('04-'06), 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2004-2007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5 years in 5 year blocks starting 3 years in the future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Pennsylvania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50,843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47,224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3,619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15,763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 ('03-'05), 2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2003-2007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Rhode Island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15*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Undecided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Undecided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2003-2005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3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South Carolina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21,316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17,837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3,479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5,344*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5 ('04-'06), 3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2004-2006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3 years 3-5 years ahead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Tennessee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25,582*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10,565*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2004-2018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for the year 3 years ahead beginning in 2016</w:t>
            </w:r>
          </w:p>
        </w:tc>
      </w:tr>
      <w:tr>
        <w:trPr>
          <w:trHeight w:val="300" w:hRule="atLeast"/>
        </w:trPr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Virginia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24,298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21,614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2,684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6,990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2004-2013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Annually 10 years ahead</w:t>
            </w:r>
          </w:p>
        </w:tc>
      </w:tr>
      <w:tr>
        <w:trPr>
          <w:trHeight w:val="900" w:hRule="atLeast"/>
        </w:trPr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West Virginia</w:t>
            </w:r>
          </w:p>
        </w:tc>
        <w:tc>
          <w:tcPr>
            <w:tcW w:w="9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94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35,872</w:t>
            </w:r>
          </w:p>
        </w:tc>
        <w:tc>
          <w:tcPr>
            <w:tcW w:w="920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33,688</w:t>
            </w:r>
          </w:p>
        </w:tc>
        <w:tc>
          <w:tcPr>
            <w:tcW w:w="90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2,184</w:t>
            </w:r>
          </w:p>
        </w:tc>
        <w:tc>
          <w:tcPr>
            <w:tcW w:w="13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16,709*</w:t>
            </w:r>
          </w:p>
        </w:tc>
        <w:tc>
          <w:tcPr>
            <w:tcW w:w="113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11.75</w:t>
            </w:r>
          </w:p>
        </w:tc>
        <w:tc>
          <w:tcPr>
            <w:tcW w:w="12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9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2005-2007</w:t>
            </w:r>
          </w:p>
        </w:tc>
        <w:tc>
          <w:tcPr>
            <w:tcW w:w="2918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Every 5 years 3-7 years ahead</w:t>
            </w:r>
          </w:p>
        </w:tc>
      </w:tr>
    </w:tbl>
    <w:p>
      <w:pPr>
        <w:pStyle w:val="NormalWeb"/>
        <w:jc w:val="center"/>
        <w:rPr/>
      </w:pPr>
      <w:r>
        <w:rPr/>
        <w:t>*- Denotes budget numbers provided by the EPA. These numbers were used when information from the state was not available.</w:t>
      </w:r>
    </w:p>
    <w:p>
      <w:pPr>
        <w:pStyle w:val="NormalWeb"/>
        <w:rPr/>
      </w:pPr>
      <w:r>
        <w:rPr/>
        <w:t>**-North Carolina allocates specific budget amounts for each year in its NOx trading program regulation throughout parts .1416, .1417, and .1421</w:t>
      </w:r>
    </w:p>
    <w:p>
      <w:pPr>
        <w:pStyle w:val="NormalWeb"/>
        <w:rPr/>
      </w:pPr>
      <w:r>
        <w:rPr/>
        <w:t> </w:t>
      </w:r>
    </w:p>
    <w:tbl>
      <w:tblPr>
        <w:tblW w:w="14040" w:type="dxa"/>
        <w:jc w:val="start"/>
        <w:tblInd w:w="-45" w:type="dxa"/>
        <w:tblLayout w:type="fixed"/>
        <w:tblCellMar>
          <w:top w:w="105" w:type="dxa"/>
          <w:start w:w="105" w:type="dxa"/>
          <w:bottom w:w="105" w:type="dxa"/>
          <w:end w:w="105" w:type="dxa"/>
        </w:tblCellMar>
      </w:tblPr>
      <w:tblGrid>
        <w:gridCol w:w="2006"/>
        <w:gridCol w:w="3772"/>
        <w:gridCol w:w="4615"/>
        <w:gridCol w:w="3647"/>
      </w:tblGrid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State</w:t>
            </w:r>
            <w:r>
              <w:rPr/>
              <w:t xml:space="preserve"> 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Initial Allocation</w:t>
              <w:br/>
              <w:t>Approach</w:t>
            </w:r>
            <w:r>
              <w:rPr/>
              <w:t xml:space="preserve"> 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Subsequent Allocation</w:t>
              <w:br/>
              <w:t>Approach</w:t>
            </w:r>
            <w:r>
              <w:rPr/>
              <w:t xml:space="preserve"> 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Web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Source Allocation</w:t>
            </w:r>
          </w:p>
          <w:p>
            <w:pPr>
              <w:pStyle w:val="NormalWeb"/>
              <w:spacing w:before="100" w:after="1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Approach</w:t>
            </w:r>
            <w:r>
              <w:rPr/>
              <w:t xml:space="preserve"> 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Alabama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97-99 heat inputs x lesser of 0.15 lb/MMBtu or emission rate limit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for the 3 previous years x lesser of 0.15 lb/MMBtu or emission rate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 previous years heat input x lesser of 0.15 or emissions x baseline adjustment ratio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Connecticut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below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below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for previous season x lesser of 0.15 or emission rate x number of hours the unit operated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Delaware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two highest 95-98 heat inputs x 0.15 (for &gt;25 MW) or average 1996 emission rate (between 15-25 MW)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The same allocations will be used until state officials make revisions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DC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Georgia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Illinois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attachment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attachment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3 years previous heat input x lesser of 0.15 or permitted emission rate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Indiana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two highest 95-97 heat inputs x lesser of 0.15 or permitted limit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for the year four years prior x lesser of 0.15 or permitted limit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per hour x hours remaining in season x lesser of 0.15 or emission rate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Kentucky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Most recent heat inputs x lesser of 0.15 or the permitted limit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Most recent heat input x lesser of 0.15 or the permitted limit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Most recent heat input x 0.15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Maryland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two highest 95-97 heat inputs x 0.15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Actual heat input for the year 4 years prior x 0.15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per hour x hours remaining in the season x 0.15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Massachusetts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below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below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Michigan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two highest 95-00 heat inputs x 0.15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two highest heat input for the 1-5 years prior x 0.15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per hour x hours remaining in the season x 0.15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Missouri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New Jersey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attachment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attachment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w:t> 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New York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&gt;25 MW = greatest heat input in 95-98 x 0.15</w:t>
              <w:br/>
              <w:br/>
              <w:t>15-25 MW = greatest heat input in 95-98 x lesser of 0.15 or emission rate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See attachment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Based on potential to emit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North Carolina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Determined by state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for 4 years prior x lesser of 0.15 or emission limit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x hours remaining in season x 0.15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Ohio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emissions in 95-98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heat input for the 4-8 years prior x 0.15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x hours remaining in season x 0.15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Pennsylvania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in 95-98 x 0.15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heat input for the 4-8 years prior x 0.15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x hours remaining in season x the lesser of 0.15 or emission limit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Rhode Island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Determined by state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Determined by state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South Carolina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in 95-99 x 0.15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for 4-6 years prior x 0.15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x hours remaining in season x 0.15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Tennessee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in 95-97 x 0.15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for the year 4 years prior x 0.15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x hours remaining in season x 0.013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Virginia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Determined by state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for previous 5 years x lesser of 0.15 or emission limit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>
        <w:trPr/>
        <w:tc>
          <w:tcPr>
            <w:tcW w:w="2006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</w:rPr>
              <w:t>West Virginia</w:t>
            </w:r>
          </w:p>
        </w:tc>
        <w:tc>
          <w:tcPr>
            <w:tcW w:w="3772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of the two highest heat inputs in 95-99 x lesser of 0.15 or emission limit</w:t>
            </w:r>
          </w:p>
        </w:tc>
        <w:tc>
          <w:tcPr>
            <w:tcW w:w="4615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Average heat input for 5-8 years prior x lesser of 0.15 or emission limit</w:t>
            </w:r>
          </w:p>
        </w:tc>
        <w:tc>
          <w:tcPr>
            <w:tcW w:w="3647" w:type="dxa"/>
            <w:tcBorders>
              <w:top w:val="thickThinLargeGap" w:sz="6" w:space="0" w:color="008000"/>
              <w:start w:val="thickThinLargeGap" w:sz="6" w:space="0" w:color="008000"/>
              <w:bottom w:val="thickThinLargeGap" w:sz="6" w:space="0" w:color="008000"/>
              <w:end w:val="thickThinLargeGap" w:sz="6" w:space="0" w:color="008000"/>
            </w:tcBorders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20"/>
                <w:szCs w:val="20"/>
              </w:rPr>
              <w:t>Heat input x hours remaining in season x lesser of 0.15 or emission limit</w:t>
            </w:r>
          </w:p>
        </w:tc>
      </w:tr>
    </w:tbl>
    <w:p>
      <w:pPr>
        <w:pStyle w:val="NormalWeb"/>
        <w:spacing w:before="100" w:after="100"/>
        <w:rPr/>
      </w:pPr>
      <w:r>
        <w:rPr/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2001-07-25T17:58:00Z</dcterms:created>
  <dc:creator>Mary Schoen</dc:creator>
  <dc:description/>
  <dc:language>en-CA</dc:language>
  <cp:lastModifiedBy>Mary Schoen</cp:lastModifiedBy>
  <dcterms:modified xsi:type="dcterms:W3CDTF">2001-07-25T18:30:00Z</dcterms:modified>
  <cp:revision>1</cp:revision>
  <dc:subject/>
  <dc:title>Summary of SIP Allocation Rules</dc:title>
</cp:coreProperties>
</file>