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Summary of Regulatory Risk Working Group </w:t>
      </w:r>
    </w:p>
    <w:p>
      <w:pPr>
        <w:pStyle w:val="Subtitle"/>
        <w:rPr/>
      </w:pPr>
      <w:r>
        <w:rPr/>
        <w:t>Conference Call on Monday, July 10, 2000</w:t>
      </w:r>
    </w:p>
    <w:p>
      <w:pPr>
        <w:pStyle w:val="Normal"/>
        <w:rPr>
          <w:b/>
          <w:sz w:val="24"/>
        </w:rPr>
      </w:pPr>
      <w:r>
        <w:rPr>
          <w:b/>
          <w:sz w:val="24"/>
        </w:rPr>
      </w:r>
    </w:p>
    <w:p>
      <w:pPr>
        <w:pStyle w:val="Normal"/>
        <w:rPr/>
      </w:pPr>
      <w:r>
        <w:rPr>
          <w:b/>
          <w:sz w:val="24"/>
          <w:u w:val="single"/>
        </w:rPr>
        <w:t>Attendees</w:t>
      </w:r>
      <w:r>
        <w:rPr>
          <w:b/>
          <w:sz w:val="24"/>
        </w:rPr>
        <w:t>:</w:t>
      </w:r>
      <w:r>
        <w:rPr>
          <w:sz w:val="24"/>
        </w:rPr>
        <w:t xml:space="preserve">  Jim Steffes, John Neslage, Gia Maisashvili, Dan Allegretti, David Merrill, Aleck Dadson, John Hardy, Amr Ibrahim, Mike Dahlke, Thane Twiggs, Elizabeth Linnell, Andrew Miles, Donald Lassere, Margaret Carson, Joe Hartsoe, Ricardo Charvel, Paul Kaufman, John Jura</w:t>
      </w:r>
    </w:p>
    <w:p>
      <w:pPr>
        <w:pStyle w:val="Normal"/>
        <w:rPr>
          <w:sz w:val="24"/>
        </w:rPr>
      </w:pPr>
      <w:r>
        <w:rPr>
          <w:sz w:val="24"/>
        </w:rPr>
      </w:r>
    </w:p>
    <w:p>
      <w:pPr>
        <w:pStyle w:val="Normal"/>
        <w:rPr/>
      </w:pPr>
      <w:r>
        <w:rPr>
          <w:b/>
          <w:sz w:val="24"/>
          <w:u w:val="single"/>
        </w:rPr>
        <w:t>Discussion</w:t>
      </w:r>
      <w:r>
        <w:rPr>
          <w:b/>
          <w:sz w:val="24"/>
        </w:rPr>
        <w:t>:</w:t>
      </w:r>
    </w:p>
    <w:p>
      <w:pPr>
        <w:pStyle w:val="Normal"/>
        <w:rPr>
          <w:b/>
          <w:sz w:val="24"/>
        </w:rPr>
      </w:pPr>
      <w:r>
        <w:rPr>
          <w:b/>
          <w:sz w:val="24"/>
        </w:rPr>
      </w:r>
    </w:p>
    <w:p>
      <w:pPr>
        <w:pStyle w:val="BodyText"/>
        <w:rPr/>
      </w:pPr>
      <w:r>
        <w:rPr/>
        <w:t>The call began with a brief discussion of the presentations on Regulatory Risk Analysis given in Canada and England. We learned several valuable lessons from our first pass at determining the amount of Enron’s total regulatory risk exposure:</w:t>
      </w:r>
    </w:p>
    <w:p>
      <w:pPr>
        <w:pStyle w:val="BodyText"/>
        <w:rPr/>
      </w:pPr>
      <w:r>
        <w:rPr/>
      </w:r>
    </w:p>
    <w:p>
      <w:pPr>
        <w:pStyle w:val="Normal"/>
        <w:numPr>
          <w:ilvl w:val="0"/>
          <w:numId w:val="1"/>
        </w:numPr>
        <w:rPr>
          <w:sz w:val="24"/>
        </w:rPr>
      </w:pPr>
      <w:r>
        <w:rPr>
          <w:sz w:val="24"/>
        </w:rPr>
        <w:t>Enron does not have a standardized  “best practices” procedure for performing due diligence on development/acquisition of regulated assets</w:t>
      </w:r>
    </w:p>
    <w:p>
      <w:pPr>
        <w:pStyle w:val="Normal"/>
        <w:numPr>
          <w:ilvl w:val="0"/>
          <w:numId w:val="1"/>
        </w:numPr>
        <w:rPr>
          <w:sz w:val="24"/>
        </w:rPr>
      </w:pPr>
      <w:r>
        <w:rPr>
          <w:sz w:val="24"/>
        </w:rPr>
        <w:t>We need to make an effort to identify and quantify origination opportunities</w:t>
      </w:r>
    </w:p>
    <w:p>
      <w:pPr>
        <w:pStyle w:val="Normal"/>
        <w:rPr>
          <w:sz w:val="24"/>
        </w:rPr>
      </w:pPr>
      <w:r>
        <w:rPr>
          <w:sz w:val="24"/>
        </w:rPr>
      </w:r>
    </w:p>
    <w:p>
      <w:pPr>
        <w:pStyle w:val="Normal"/>
        <w:rPr>
          <w:sz w:val="24"/>
        </w:rPr>
      </w:pPr>
      <w:r>
        <w:rPr>
          <w:sz w:val="24"/>
        </w:rPr>
        <w:t>Participants enthusiastically agreed that there is a great need for a formal due diligence process. The group spoke at length about deal risk evaluation procedures, with people agreeing that assumptions from business deals need to be stress tested more assiduously. The development of standardized due diligence procedures that all deals should use as a starting point in their investigation of regulatory risk will help alleviate this. Government affairs can add substantial value in the early stages of deal development.</w:t>
      </w:r>
    </w:p>
    <w:p>
      <w:pPr>
        <w:pStyle w:val="Normal"/>
        <w:rPr>
          <w:sz w:val="24"/>
        </w:rPr>
      </w:pPr>
      <w:r>
        <w:rPr>
          <w:sz w:val="24"/>
        </w:rPr>
      </w:r>
    </w:p>
    <w:p>
      <w:pPr>
        <w:pStyle w:val="Normal"/>
        <w:rPr>
          <w:sz w:val="24"/>
        </w:rPr>
      </w:pPr>
      <w:r>
        <w:rPr>
          <w:sz w:val="24"/>
        </w:rPr>
        <w:t>Finally, everyone agreed to volunteer to participate on one or more working groups to develop regulatory due diligence procedures for various Enron business segments.  The groups include generation, distribution, wholesale sales, retail sales, bandwidth trading and other EBS related issues.</w:t>
      </w:r>
    </w:p>
    <w:p>
      <w:pPr>
        <w:pStyle w:val="Normal"/>
        <w:rPr>
          <w:sz w:val="24"/>
        </w:rPr>
      </w:pPr>
      <w:r>
        <w:rPr>
          <w:sz w:val="24"/>
        </w:rPr>
      </w:r>
    </w:p>
    <w:p>
      <w:pPr>
        <w:pStyle w:val="Normal"/>
        <w:rPr>
          <w:sz w:val="24"/>
        </w:rPr>
      </w:pPr>
      <w:r>
        <w:rPr>
          <w:sz w:val="24"/>
        </w:rPr>
        <w:t xml:space="preserve">Please forward your group preference(s) to either Gia Maisashvili or John Neslage with the Regulatory Risk Analytics group.  </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2000-07-14T11:53:00Z</dcterms:created>
  <dc:creator>John Neslage</dc:creator>
  <dc:description/>
  <dc:language>en-CA</dc:language>
  <cp:lastModifiedBy>mlinton</cp:lastModifiedBy>
  <cp:lastPrinted>2000-07-13T17:49:00Z</cp:lastPrinted>
  <dcterms:modified xsi:type="dcterms:W3CDTF">2000-07-14T11:53:00Z</dcterms:modified>
  <cp:revision>2</cp:revision>
  <dc:subject/>
  <dc:title>Summary of Regulatory Risk Working Group </dc:title>
</cp:coreProperties>
</file>