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b/>
          <w:bCs/>
        </w:rPr>
      </w:pPr>
      <w:r>
        <w:rPr>
          <w:b/>
          <w:bCs/>
        </w:rPr>
      </w:r>
    </w:p>
    <w:p>
      <w:pPr>
        <w:pStyle w:val="Heading"/>
        <w:rPr>
          <w:rFonts w:cs="Arial"/>
        </w:rPr>
      </w:pPr>
      <w:r>
        <w:rPr>
          <w:rFonts w:cs="Arial"/>
        </w:rPr>
        <w:t>THE WESTERN ENERGY MARKET</w:t>
      </w:r>
    </w:p>
    <w:p>
      <w:pPr>
        <w:pStyle w:val="Normal"/>
        <w:jc w:val="center"/>
        <w:rPr>
          <w:rFonts w:ascii="Arial" w:hAnsi="Arial" w:cs="Arial"/>
          <w:b/>
          <w:bCs/>
          <w:sz w:val="20"/>
        </w:rPr>
      </w:pPr>
      <w:r>
        <w:rPr>
          <w:rFonts w:cs="Arial" w:ascii="Arial" w:hAnsi="Arial"/>
          <w:b/>
          <w:bCs/>
          <w:sz w:val="20"/>
        </w:rPr>
      </w:r>
    </w:p>
    <w:p>
      <w:pPr>
        <w:pStyle w:val="Normal"/>
        <w:rPr>
          <w:rFonts w:ascii="Arial" w:hAnsi="Arial" w:cs="Arial"/>
          <w:b/>
          <w:bCs/>
          <w:sz w:val="20"/>
        </w:rPr>
      </w:pPr>
      <w:r>
        <w:rPr>
          <w:rFonts w:cs="Arial" w:ascii="Arial" w:hAnsi="Arial"/>
          <w:b/>
          <w:bCs/>
          <w:sz w:val="20"/>
        </w:rPr>
      </w:r>
    </w:p>
    <w:p>
      <w:pPr>
        <w:pStyle w:val="Normal"/>
        <w:ind w:start="360" w:end="0"/>
        <w:rPr/>
      </w:pPr>
      <w:r>
        <w:rPr>
          <w:rFonts w:cs="Arial" w:ascii="Arial" w:hAnsi="Arial"/>
          <w:b/>
          <w:bCs/>
          <w:sz w:val="20"/>
        </w:rPr>
        <w:t>1.</w:t>
        <w:tab/>
      </w:r>
      <w:r>
        <w:rPr>
          <w:rFonts w:cs="Arial" w:ascii="Arial" w:hAnsi="Arial"/>
          <w:b/>
          <w:bCs/>
          <w:sz w:val="20"/>
          <w:u w:val="single"/>
        </w:rPr>
        <w:t xml:space="preserve">Geographic Scale.  </w:t>
      </w:r>
    </w:p>
    <w:p>
      <w:pPr>
        <w:pStyle w:val="BodyTextIndent2"/>
        <w:ind w:hanging="0" w:start="720" w:end="0"/>
        <w:rPr>
          <w:rFonts w:cs="Arial"/>
          <w:b w:val="false"/>
          <w:bCs w:val="false"/>
          <w:sz w:val="20"/>
        </w:rPr>
      </w:pPr>
      <w:r>
        <w:rPr>
          <w:rFonts w:cs="Arial"/>
          <w:b w:val="false"/>
          <w:bCs w:val="false"/>
          <w:sz w:val="20"/>
        </w:rPr>
        <w:t>The Western Interconnection is a single market covering Arizona, California, Idaho, Montana, Nevada, New Mexico, Oregon, Utah, Washington, Wyoming, Alberta and British Columbia plus parts of Nebraska, South Dakota, Texas and Baja California.</w:t>
      </w:r>
    </w:p>
    <w:p>
      <w:pPr>
        <w:pStyle w:val="BodyTextIndent2"/>
        <w:ind w:hanging="1080" w:start="1800" w:end="0"/>
        <w:rPr>
          <w:rFonts w:cs="Arial"/>
          <w:b w:val="false"/>
          <w:bCs w:val="false"/>
          <w:sz w:val="20"/>
        </w:rPr>
      </w:pPr>
      <w:r>
        <w:rPr>
          <w:rFonts w:cs="Arial"/>
          <w:b w:val="false"/>
          <w:bCs w:val="false"/>
          <w:sz w:val="20"/>
        </w:rPr>
      </w:r>
    </w:p>
    <w:p>
      <w:pPr>
        <w:pStyle w:val="BodyTextIndent2"/>
        <w:numPr>
          <w:ilvl w:val="0"/>
          <w:numId w:val="5"/>
        </w:numPr>
        <w:rPr>
          <w:rFonts w:cs="Arial"/>
          <w:b w:val="false"/>
          <w:bCs w:val="false"/>
          <w:sz w:val="20"/>
        </w:rPr>
      </w:pPr>
      <w:r>
        <w:rPr>
          <w:rFonts w:cs="Arial"/>
          <w:b w:val="false"/>
          <w:bCs w:val="false"/>
          <w:sz w:val="20"/>
        </w:rPr>
        <w:t>All generators within the interconnection operate at the same synchronous frequency.  The actions of every generator effect all others in proportion to the electrical distance between the generators.</w:t>
      </w:r>
    </w:p>
    <w:p>
      <w:pPr>
        <w:pStyle w:val="BodyTextIndent2"/>
        <w:numPr>
          <w:ilvl w:val="0"/>
          <w:numId w:val="5"/>
        </w:numPr>
        <w:rPr>
          <w:rFonts w:cs="Arial"/>
          <w:b w:val="false"/>
          <w:bCs w:val="false"/>
          <w:sz w:val="20"/>
        </w:rPr>
      </w:pPr>
      <w:r>
        <w:rPr>
          <w:rFonts w:cs="Arial"/>
          <w:b w:val="false"/>
          <w:bCs w:val="false"/>
          <w:sz w:val="20"/>
        </w:rPr>
        <w:t>Transactions between all parts of the interconnection have been common since the first Pacific Intertie was completed in the late 1960s.</w:t>
      </w:r>
    </w:p>
    <w:p>
      <w:pPr>
        <w:pStyle w:val="BodyTextIndent2"/>
        <w:numPr>
          <w:ilvl w:val="0"/>
          <w:numId w:val="5"/>
        </w:numPr>
        <w:rPr>
          <w:rFonts w:cs="Arial"/>
          <w:b w:val="false"/>
          <w:bCs w:val="false"/>
          <w:sz w:val="20"/>
        </w:rPr>
      </w:pPr>
      <w:r>
        <w:rPr>
          <w:rFonts w:cs="Arial"/>
          <w:b w:val="false"/>
          <w:bCs w:val="false"/>
          <w:sz w:val="20"/>
        </w:rPr>
        <w:t>Recent region-wide price effects due to shortage in California demonstrate the West’s high degree of economic interdependence.  The oil embargos of the 1970s and the generation surpluses of the late 1980s produced similar region-wide price effects.</w:t>
      </w:r>
    </w:p>
    <w:p>
      <w:pPr>
        <w:pStyle w:val="BodyTextIndent2"/>
        <w:rPr>
          <w:rFonts w:cs="Arial"/>
          <w:b w:val="false"/>
          <w:bCs w:val="false"/>
          <w:sz w:val="20"/>
        </w:rPr>
      </w:pPr>
      <w:r>
        <w:rPr>
          <w:rFonts w:cs="Arial"/>
          <w:b w:val="false"/>
          <w:bCs w:val="false"/>
          <w:sz w:val="20"/>
        </w:rPr>
      </w:r>
    </w:p>
    <w:p>
      <w:pPr>
        <w:pStyle w:val="Normal"/>
        <w:ind w:start="360" w:end="0"/>
        <w:rPr/>
      </w:pPr>
      <w:r>
        <w:rPr>
          <w:rFonts w:cs="Arial" w:ascii="Arial" w:hAnsi="Arial"/>
          <w:b/>
          <w:bCs/>
          <w:sz w:val="20"/>
        </w:rPr>
        <w:t>2.</w:t>
        <w:tab/>
      </w:r>
      <w:r>
        <w:rPr>
          <w:rFonts w:cs="Arial" w:ascii="Arial" w:hAnsi="Arial"/>
          <w:b/>
          <w:bCs/>
          <w:sz w:val="20"/>
          <w:u w:val="single"/>
        </w:rPr>
        <w:t>Market Function</w:t>
      </w:r>
      <w:r>
        <w:rPr>
          <w:rFonts w:cs="Arial" w:ascii="Arial" w:hAnsi="Arial"/>
          <w:b/>
          <w:bCs/>
          <w:sz w:val="20"/>
        </w:rPr>
        <w:t>.</w:t>
      </w:r>
    </w:p>
    <w:p>
      <w:pPr>
        <w:pStyle w:val="BodyTextIndent2"/>
        <w:ind w:hanging="0" w:start="720" w:end="0"/>
        <w:rPr>
          <w:rFonts w:cs="Arial"/>
          <w:b w:val="false"/>
          <w:bCs w:val="false"/>
          <w:sz w:val="20"/>
        </w:rPr>
      </w:pPr>
      <w:r>
        <w:rPr>
          <w:rFonts w:cs="Arial"/>
          <w:b w:val="false"/>
          <w:bCs w:val="false"/>
          <w:sz w:val="20"/>
        </w:rPr>
        <w:t>Bilateral trade between parties has been and continues to be the dominant mode of trade in the Western market.</w:t>
      </w:r>
    </w:p>
    <w:p>
      <w:pPr>
        <w:pStyle w:val="BodyTextIndent2"/>
        <w:ind w:hanging="1080" w:start="1800" w:end="0"/>
        <w:rPr>
          <w:rFonts w:cs="Arial"/>
          <w:b w:val="false"/>
          <w:bCs w:val="false"/>
          <w:sz w:val="20"/>
        </w:rPr>
      </w:pPr>
      <w:r>
        <w:rPr>
          <w:rFonts w:cs="Arial"/>
          <w:b w:val="false"/>
          <w:bCs w:val="false"/>
          <w:sz w:val="20"/>
        </w:rPr>
      </w:r>
    </w:p>
    <w:p>
      <w:pPr>
        <w:pStyle w:val="BodyTextIndent2"/>
        <w:numPr>
          <w:ilvl w:val="0"/>
          <w:numId w:val="5"/>
        </w:numPr>
        <w:rPr>
          <w:rFonts w:cs="Arial"/>
          <w:b w:val="false"/>
          <w:bCs w:val="false"/>
          <w:sz w:val="20"/>
        </w:rPr>
      </w:pPr>
      <w:r>
        <w:rPr>
          <w:rFonts w:cs="Arial"/>
          <w:b w:val="false"/>
          <w:bCs w:val="false"/>
          <w:sz w:val="20"/>
        </w:rPr>
        <w:t xml:space="preserve">Traditional transactions included long-term power purchase and sales, daily and seasonal energy exchanges, trade of short-term surpluses. </w:t>
      </w:r>
    </w:p>
    <w:p>
      <w:pPr>
        <w:pStyle w:val="BodyTextIndent2"/>
        <w:numPr>
          <w:ilvl w:val="0"/>
          <w:numId w:val="5"/>
        </w:numPr>
        <w:rPr>
          <w:rFonts w:cs="Arial"/>
          <w:b w:val="false"/>
          <w:bCs w:val="false"/>
          <w:sz w:val="20"/>
        </w:rPr>
      </w:pPr>
      <w:r>
        <w:rPr>
          <w:rFonts w:cs="Arial"/>
          <w:b w:val="false"/>
          <w:bCs w:val="false"/>
          <w:sz w:val="20"/>
        </w:rPr>
        <w:t>Prior to open access, trade in electric power was exclusively between vertically integrated utilities.</w:t>
      </w:r>
    </w:p>
    <w:p>
      <w:pPr>
        <w:pStyle w:val="BodyTextIndent2"/>
        <w:numPr>
          <w:ilvl w:val="0"/>
          <w:numId w:val="5"/>
        </w:numPr>
        <w:rPr>
          <w:rFonts w:cs="Arial"/>
          <w:b w:val="false"/>
          <w:bCs w:val="false"/>
          <w:sz w:val="20"/>
        </w:rPr>
      </w:pPr>
      <w:r>
        <w:rPr>
          <w:rFonts w:cs="Arial"/>
          <w:b w:val="false"/>
          <w:bCs w:val="false"/>
          <w:sz w:val="20"/>
        </w:rPr>
        <w:t>With the coming of open access, marketers added liquidity to the market by matching buyers and sellers and by offering risk hedging product in the forward market.</w:t>
      </w:r>
    </w:p>
    <w:p>
      <w:pPr>
        <w:pStyle w:val="BodyTextIndent2"/>
        <w:numPr>
          <w:ilvl w:val="0"/>
          <w:numId w:val="5"/>
        </w:numPr>
        <w:rPr>
          <w:rFonts w:cs="Arial"/>
          <w:b w:val="false"/>
          <w:bCs w:val="false"/>
          <w:sz w:val="20"/>
        </w:rPr>
      </w:pPr>
      <w:r>
        <w:rPr>
          <w:rFonts w:cs="Arial"/>
          <w:b w:val="false"/>
          <w:bCs w:val="false"/>
          <w:sz w:val="20"/>
        </w:rPr>
        <w:t>The California PX and ISO initiated spot pool markets (or auctions).  The investor owned utilities in California were required to buy most of their energy from PX spot pool, and restrictions were imposed on their entering into forward contracts.  The PX collapsed when regional surpluses dried up.</w:t>
      </w:r>
    </w:p>
    <w:p>
      <w:pPr>
        <w:pStyle w:val="Normal"/>
        <w:ind w:start="720" w:end="0"/>
        <w:rPr>
          <w:rFonts w:ascii="Arial" w:hAnsi="Arial" w:cs="Arial"/>
          <w:b/>
          <w:bCs/>
          <w:i/>
          <w:i/>
          <w:iCs/>
          <w:sz w:val="20"/>
        </w:rPr>
      </w:pPr>
      <w:r>
        <w:rPr>
          <w:rFonts w:cs="Arial" w:ascii="Arial" w:hAnsi="Arial"/>
          <w:b/>
          <w:bCs/>
          <w:i/>
          <w:iCs/>
          <w:sz w:val="20"/>
        </w:rPr>
      </w:r>
    </w:p>
    <w:p>
      <w:pPr>
        <w:pStyle w:val="Normal"/>
        <w:ind w:start="360" w:end="0"/>
        <w:rPr/>
      </w:pPr>
      <w:r>
        <w:rPr>
          <w:rFonts w:cs="Arial" w:ascii="Arial" w:hAnsi="Arial"/>
          <w:b/>
          <w:bCs/>
          <w:sz w:val="20"/>
        </w:rPr>
        <w:t>3.</w:t>
        <w:tab/>
      </w:r>
      <w:r>
        <w:rPr>
          <w:rFonts w:cs="Arial" w:ascii="Arial" w:hAnsi="Arial"/>
          <w:b/>
          <w:bCs/>
          <w:sz w:val="20"/>
          <w:u w:val="single"/>
        </w:rPr>
        <w:t>Transmission Access</w:t>
      </w:r>
      <w:r>
        <w:rPr>
          <w:rFonts w:cs="Arial" w:ascii="Arial" w:hAnsi="Arial"/>
          <w:b/>
          <w:bCs/>
          <w:sz w:val="20"/>
        </w:rPr>
        <w:t>.</w:t>
      </w:r>
    </w:p>
    <w:p>
      <w:pPr>
        <w:pStyle w:val="BodyTextIndent2"/>
        <w:ind w:hanging="0" w:start="720" w:end="0"/>
        <w:rPr>
          <w:rFonts w:cs="Arial"/>
          <w:b w:val="false"/>
          <w:bCs w:val="false"/>
          <w:sz w:val="20"/>
        </w:rPr>
      </w:pPr>
      <w:r>
        <w:rPr>
          <w:rFonts w:cs="Arial"/>
          <w:b w:val="false"/>
          <w:bCs w:val="false"/>
          <w:sz w:val="20"/>
        </w:rPr>
        <w:t xml:space="preserve">Parties doing business across the Western Interconnection must deal with multiple owners and pay pancaked charges for each system crossed. </w:t>
      </w:r>
    </w:p>
    <w:p>
      <w:pPr>
        <w:pStyle w:val="BodyTextIndent2"/>
        <w:ind w:hanging="1080" w:start="1800" w:end="0"/>
        <w:rPr>
          <w:rFonts w:cs="Arial"/>
          <w:b w:val="false"/>
          <w:bCs w:val="false"/>
          <w:sz w:val="20"/>
        </w:rPr>
      </w:pPr>
      <w:r>
        <w:rPr>
          <w:rFonts w:cs="Arial"/>
          <w:b w:val="false"/>
          <w:bCs w:val="false"/>
          <w:sz w:val="20"/>
        </w:rPr>
      </w:r>
    </w:p>
    <w:p>
      <w:pPr>
        <w:pStyle w:val="BodyTextIndent2"/>
        <w:numPr>
          <w:ilvl w:val="0"/>
          <w:numId w:val="5"/>
        </w:numPr>
        <w:rPr>
          <w:rFonts w:cs="Arial"/>
          <w:b w:val="false"/>
          <w:bCs w:val="false"/>
          <w:sz w:val="20"/>
        </w:rPr>
      </w:pPr>
      <w:r>
        <w:rPr>
          <w:rFonts w:cs="Arial"/>
          <w:b w:val="false"/>
          <w:bCs w:val="false"/>
          <w:sz w:val="20"/>
        </w:rPr>
        <w:t>The West has 31 separate control areas, each with its own transmission tariff.</w:t>
      </w:r>
    </w:p>
    <w:p>
      <w:pPr>
        <w:pStyle w:val="BodyTextIndent2"/>
        <w:numPr>
          <w:ilvl w:val="0"/>
          <w:numId w:val="5"/>
        </w:numPr>
        <w:rPr>
          <w:rFonts w:cs="Arial"/>
          <w:b w:val="false"/>
          <w:bCs w:val="false"/>
          <w:sz w:val="20"/>
        </w:rPr>
      </w:pPr>
      <w:r>
        <w:rPr>
          <w:rFonts w:cs="Arial"/>
          <w:b w:val="false"/>
          <w:bCs w:val="false"/>
          <w:sz w:val="20"/>
        </w:rPr>
        <w:t>For every system a transaction crosses, a separate contract must exist between the customer and that control area utility prior to scheduling.  Each transaction must be separately scheduled with each control area and a separate transmission fee paid under each tariff, i.e., the charges for the fixed costs of each system are pancaked on top of each other.</w:t>
      </w:r>
    </w:p>
    <w:p>
      <w:pPr>
        <w:pStyle w:val="BodyTextIndent2"/>
        <w:numPr>
          <w:ilvl w:val="0"/>
          <w:numId w:val="5"/>
        </w:numPr>
        <w:rPr>
          <w:rFonts w:cs="Arial"/>
          <w:b w:val="false"/>
          <w:bCs w:val="false"/>
          <w:sz w:val="20"/>
        </w:rPr>
      </w:pPr>
      <w:r>
        <w:rPr>
          <w:rFonts w:cs="Arial"/>
          <w:b w:val="false"/>
          <w:bCs w:val="false"/>
          <w:sz w:val="20"/>
        </w:rPr>
        <w:t xml:space="preserve">Under FERC Order No. 888 vertically integrated transmission owners retain significant advantages, which biases the competitive market against new entrants.  </w:t>
      </w:r>
    </w:p>
    <w:p>
      <w:pPr>
        <w:pStyle w:val="BodyText"/>
        <w:rPr>
          <w:rFonts w:cs="Arial"/>
          <w:b/>
          <w:bCs/>
          <w:sz w:val="20"/>
        </w:rPr>
      </w:pPr>
      <w:r>
        <w:rPr>
          <w:rFonts w:cs="Arial"/>
          <w:b/>
          <w:bCs/>
          <w:sz w:val="20"/>
        </w:rPr>
      </w:r>
    </w:p>
    <w:p>
      <w:pPr>
        <w:pStyle w:val="BodyText"/>
        <w:jc w:val="center"/>
        <w:rPr>
          <w:b/>
          <w:bCs/>
          <w:sz w:val="24"/>
        </w:rPr>
      </w:pPr>
      <w:r>
        <w:rPr>
          <w:b/>
          <w:bCs/>
          <w:sz w:val="24"/>
        </w:rPr>
      </w:r>
    </w:p>
    <w:p>
      <w:pPr>
        <w:pStyle w:val="BodyText"/>
        <w:jc w:val="center"/>
        <w:rPr>
          <w:b/>
          <w:bCs/>
          <w:sz w:val="24"/>
        </w:rPr>
      </w:pPr>
      <w:r>
        <w:rPr>
          <w:b/>
          <w:bCs/>
          <w:sz w:val="24"/>
        </w:rPr>
      </w:r>
    </w:p>
    <w:p>
      <w:pPr>
        <w:pStyle w:val="BodyText"/>
        <w:jc w:val="center"/>
        <w:rPr>
          <w:b/>
          <w:bCs/>
          <w:sz w:val="24"/>
        </w:rPr>
      </w:pPr>
      <w:r>
        <w:rPr>
          <w:b/>
          <w:bCs/>
          <w:sz w:val="24"/>
        </w:rPr>
      </w:r>
    </w:p>
    <w:p>
      <w:pPr>
        <w:pStyle w:val="BodyText"/>
        <w:jc w:val="center"/>
        <w:rPr>
          <w:b/>
          <w:bCs/>
          <w:sz w:val="24"/>
        </w:rPr>
      </w:pPr>
      <w:r>
        <w:rPr>
          <w:b/>
          <w:bCs/>
          <w:sz w:val="24"/>
        </w:rPr>
      </w:r>
    </w:p>
    <w:p>
      <w:pPr>
        <w:pStyle w:val="BodyText"/>
        <w:jc w:val="center"/>
        <w:rPr>
          <w:b/>
          <w:bCs/>
          <w:sz w:val="24"/>
        </w:rPr>
      </w:pPr>
      <w:r>
        <w:rPr>
          <w:b/>
          <w:bCs/>
          <w:sz w:val="24"/>
        </w:rPr>
      </w:r>
    </w:p>
    <w:p>
      <w:pPr>
        <w:pStyle w:val="BodyText"/>
        <w:jc w:val="center"/>
        <w:rPr>
          <w:b/>
          <w:bCs/>
          <w:sz w:val="24"/>
        </w:rPr>
      </w:pPr>
      <w:r>
        <w:rPr>
          <w:b/>
          <w:bCs/>
          <w:sz w:val="24"/>
        </w:rPr>
      </w:r>
    </w:p>
    <w:p>
      <w:pPr>
        <w:pStyle w:val="BodyText"/>
        <w:jc w:val="center"/>
        <w:rPr>
          <w:b/>
          <w:bCs/>
          <w:sz w:val="24"/>
        </w:rPr>
      </w:pPr>
      <w:r>
        <w:rPr>
          <w:b/>
          <w:bCs/>
          <w:sz w:val="24"/>
        </w:rPr>
      </w:r>
    </w:p>
    <w:p>
      <w:pPr>
        <w:pStyle w:val="BodyText"/>
        <w:jc w:val="center"/>
        <w:rPr>
          <w:b/>
          <w:bCs/>
          <w:sz w:val="24"/>
        </w:rPr>
      </w:pPr>
      <w:r>
        <w:rPr>
          <w:b/>
          <w:bCs/>
          <w:sz w:val="24"/>
        </w:rPr>
      </w:r>
    </w:p>
    <w:p>
      <w:pPr>
        <w:pStyle w:val="BodyText"/>
        <w:jc w:val="center"/>
        <w:rPr>
          <w:b/>
          <w:bCs/>
          <w:sz w:val="24"/>
        </w:rPr>
      </w:pPr>
      <w:r>
        <w:rPr>
          <w:b/>
          <w:bCs/>
          <w:sz w:val="24"/>
        </w:rPr>
      </w:r>
    </w:p>
    <w:p>
      <w:pPr>
        <w:pStyle w:val="BodyText"/>
        <w:jc w:val="center"/>
        <w:rPr>
          <w:b/>
          <w:bCs/>
          <w:sz w:val="24"/>
        </w:rPr>
      </w:pPr>
      <w:r>
        <w:rPr>
          <w:b/>
          <w:bCs/>
          <w:sz w:val="24"/>
        </w:rPr>
      </w:r>
    </w:p>
    <w:p>
      <w:pPr>
        <w:pStyle w:val="BodyText"/>
        <w:jc w:val="center"/>
        <w:rPr>
          <w:b/>
          <w:bCs/>
          <w:sz w:val="24"/>
        </w:rPr>
      </w:pPr>
      <w:r>
        <w:rPr>
          <w:b/>
          <w:bCs/>
          <w:sz w:val="24"/>
        </w:rPr>
      </w:r>
    </w:p>
    <w:p>
      <w:pPr>
        <w:pStyle w:val="BodyText"/>
        <w:jc w:val="center"/>
        <w:rPr>
          <w:b/>
          <w:bCs/>
          <w:sz w:val="24"/>
        </w:rPr>
      </w:pPr>
      <w:r>
        <w:rPr>
          <w:b/>
          <w:bCs/>
          <w:sz w:val="24"/>
        </w:rPr>
      </w:r>
    </w:p>
    <w:p>
      <w:pPr>
        <w:pStyle w:val="BodyText"/>
        <w:jc w:val="center"/>
        <w:rPr>
          <w:b/>
          <w:bCs/>
          <w:sz w:val="24"/>
        </w:rPr>
      </w:pPr>
      <w:r>
        <w:rPr>
          <w:b/>
          <w:bCs/>
          <w:sz w:val="24"/>
        </w:rPr>
      </w:r>
    </w:p>
    <w:p>
      <w:pPr>
        <w:pStyle w:val="BodyText"/>
        <w:jc w:val="center"/>
        <w:rPr>
          <w:b/>
          <w:bCs/>
          <w:sz w:val="24"/>
        </w:rPr>
      </w:pPr>
      <w:r>
        <w:rPr>
          <w:b/>
          <w:bCs/>
          <w:sz w:val="24"/>
        </w:rPr>
      </w:r>
    </w:p>
    <w:p>
      <w:pPr>
        <w:pStyle w:val="BodyText"/>
        <w:jc w:val="center"/>
        <w:rPr>
          <w:b/>
          <w:bCs/>
          <w:sz w:val="24"/>
        </w:rPr>
      </w:pPr>
      <w:r>
        <w:rPr>
          <w:b/>
          <w:bCs/>
          <w:sz w:val="24"/>
        </w:rPr>
      </w:r>
    </w:p>
    <w:p>
      <w:pPr>
        <w:pStyle w:val="Heading"/>
        <w:rPr>
          <w:rFonts w:cs="Arial"/>
          <w:b w:val="false"/>
          <w:bCs w:val="false"/>
          <w:sz w:val="24"/>
        </w:rPr>
      </w:pPr>
      <w:r>
        <w:rPr>
          <w:rFonts w:cs="Arial"/>
          <w:b w:val="false"/>
          <w:bCs w:val="false"/>
          <w:sz w:val="24"/>
        </w:rPr>
      </w:r>
    </w:p>
    <w:p>
      <w:pPr>
        <w:pStyle w:val="Heading"/>
        <w:rPr>
          <w:rFonts w:cs="Arial"/>
        </w:rPr>
      </w:pPr>
      <w:r>
        <w:rPr>
          <w:rFonts w:cs="Arial"/>
        </w:rPr>
      </w:r>
    </w:p>
    <w:p>
      <w:pPr>
        <w:pStyle w:val="Heading"/>
        <w:rPr>
          <w:rFonts w:cs="Arial"/>
        </w:rPr>
      </w:pPr>
      <w:r>
        <w:rPr>
          <w:rFonts w:cs="Arial"/>
        </w:rPr>
        <w:t>KEY COMPONENTS FOR A WELL DESIGNED RTO</w:t>
      </w:r>
    </w:p>
    <w:p>
      <w:pPr>
        <w:pStyle w:val="Normal"/>
        <w:jc w:val="center"/>
        <w:rPr>
          <w:rFonts w:ascii="Arial" w:hAnsi="Arial" w:cs="Arial"/>
          <w:b/>
          <w:bCs/>
        </w:rPr>
      </w:pPr>
      <w:r>
        <w:rPr>
          <w:rFonts w:cs="Arial" w:ascii="Arial" w:hAnsi="Arial"/>
          <w:b/>
          <w:bCs/>
        </w:rPr>
      </w:r>
    </w:p>
    <w:p>
      <w:pPr>
        <w:pStyle w:val="Normal"/>
        <w:jc w:val="center"/>
        <w:rPr>
          <w:rFonts w:ascii="Arial" w:hAnsi="Arial" w:cs="Arial"/>
          <w:b/>
          <w:bCs/>
          <w:sz w:val="20"/>
        </w:rPr>
      </w:pPr>
      <w:r>
        <w:rPr>
          <w:rFonts w:cs="Arial" w:ascii="Arial" w:hAnsi="Arial"/>
          <w:b/>
          <w:bCs/>
          <w:sz w:val="20"/>
        </w:rPr>
      </w:r>
    </w:p>
    <w:p>
      <w:pPr>
        <w:pStyle w:val="Normal"/>
        <w:numPr>
          <w:ilvl w:val="0"/>
          <w:numId w:val="2"/>
        </w:numPr>
        <w:rPr>
          <w:rFonts w:ascii="Arial" w:hAnsi="Arial" w:cs="Arial"/>
          <w:b/>
          <w:bCs/>
          <w:sz w:val="20"/>
        </w:rPr>
      </w:pPr>
      <w:r>
        <w:rPr>
          <w:rFonts w:cs="Arial" w:ascii="Arial" w:hAnsi="Arial"/>
          <w:b/>
          <w:bCs/>
          <w:sz w:val="20"/>
          <w:u w:val="single"/>
        </w:rPr>
        <w:t>Independent Governance</w:t>
      </w:r>
      <w:r>
        <w:rPr>
          <w:rFonts w:cs="Arial" w:ascii="Arial" w:hAnsi="Arial"/>
          <w:b/>
          <w:bCs/>
          <w:sz w:val="20"/>
        </w:rPr>
        <w:t xml:space="preserve">.  </w:t>
      </w:r>
    </w:p>
    <w:p>
      <w:pPr>
        <w:pStyle w:val="BodyTextIndent2"/>
        <w:ind w:hanging="1080" w:start="1800" w:end="0"/>
        <w:rPr>
          <w:rFonts w:cs="Arial"/>
          <w:b w:val="false"/>
          <w:bCs w:val="false"/>
          <w:sz w:val="20"/>
        </w:rPr>
      </w:pPr>
      <w:r>
        <w:rPr>
          <w:rFonts w:cs="Arial"/>
          <w:b w:val="false"/>
          <w:bCs w:val="false"/>
          <w:sz w:val="20"/>
        </w:rPr>
        <w:t>Principle:  No energy market participant (generator, marketer, distributor or utility) controls the RTO either directly or indirectly.</w:t>
      </w:r>
    </w:p>
    <w:p>
      <w:pPr>
        <w:pStyle w:val="BodyTextIndent2"/>
        <w:ind w:hanging="1080" w:start="1800" w:end="0"/>
        <w:rPr>
          <w:rFonts w:cs="Arial"/>
          <w:b w:val="false"/>
          <w:bCs w:val="false"/>
          <w:sz w:val="20"/>
        </w:rPr>
      </w:pPr>
      <w:r>
        <w:rPr>
          <w:rFonts w:cs="Arial"/>
          <w:b w:val="false"/>
          <w:bCs w:val="false"/>
          <w:sz w:val="20"/>
        </w:rPr>
      </w:r>
    </w:p>
    <w:p>
      <w:pPr>
        <w:pStyle w:val="BodyTextIndent2"/>
        <w:numPr>
          <w:ilvl w:val="0"/>
          <w:numId w:val="5"/>
        </w:numPr>
        <w:rPr>
          <w:rFonts w:cs="Arial"/>
          <w:b w:val="false"/>
          <w:bCs w:val="false"/>
          <w:sz w:val="20"/>
        </w:rPr>
      </w:pPr>
      <w:r>
        <w:rPr>
          <w:rFonts w:cs="Arial"/>
          <w:b w:val="false"/>
          <w:bCs w:val="false"/>
          <w:sz w:val="20"/>
        </w:rPr>
        <w:t>If an ISO formed – A balanced stakeholder process must select the board.</w:t>
      </w:r>
    </w:p>
    <w:p>
      <w:pPr>
        <w:pStyle w:val="BodyTextIndent2"/>
        <w:numPr>
          <w:ilvl w:val="0"/>
          <w:numId w:val="5"/>
        </w:numPr>
        <w:rPr>
          <w:rFonts w:cs="Arial"/>
          <w:b w:val="false"/>
          <w:bCs w:val="false"/>
          <w:sz w:val="20"/>
        </w:rPr>
      </w:pPr>
      <w:r>
        <w:rPr>
          <w:rFonts w:cs="Arial"/>
          <w:b w:val="false"/>
          <w:bCs w:val="false"/>
          <w:sz w:val="20"/>
        </w:rPr>
        <w:t>If a Transco formed – Full divestiture by vertically integrated transmission owners is best, but difficult for tax reasons, so passive ownership is acceptable.</w:t>
      </w:r>
    </w:p>
    <w:p>
      <w:pPr>
        <w:pStyle w:val="BodyTextIndent2"/>
        <w:numPr>
          <w:ilvl w:val="0"/>
          <w:numId w:val="5"/>
        </w:numPr>
        <w:rPr>
          <w:rFonts w:cs="Arial"/>
          <w:b w:val="false"/>
          <w:bCs w:val="false"/>
          <w:sz w:val="20"/>
        </w:rPr>
      </w:pPr>
      <w:r>
        <w:rPr>
          <w:rFonts w:cs="Arial"/>
          <w:b w:val="false"/>
          <w:bCs w:val="false"/>
          <w:sz w:val="20"/>
        </w:rPr>
        <w:t>RTO personnel meet conflict of interest standards to include board, management and staff.</w:t>
      </w:r>
    </w:p>
    <w:p>
      <w:pPr>
        <w:pStyle w:val="BodyTextIndent2"/>
        <w:rPr>
          <w:rFonts w:cs="Arial"/>
          <w:b w:val="false"/>
          <w:bCs w:val="false"/>
          <w:sz w:val="20"/>
        </w:rPr>
      </w:pPr>
      <w:r>
        <w:rPr>
          <w:rFonts w:cs="Arial"/>
          <w:b w:val="false"/>
          <w:bCs w:val="false"/>
          <w:sz w:val="20"/>
        </w:rPr>
      </w:r>
    </w:p>
    <w:p>
      <w:pPr>
        <w:pStyle w:val="Normal"/>
        <w:numPr>
          <w:ilvl w:val="0"/>
          <w:numId w:val="2"/>
        </w:numPr>
        <w:rPr>
          <w:rFonts w:ascii="Arial" w:hAnsi="Arial" w:cs="Arial"/>
          <w:b/>
          <w:bCs/>
          <w:sz w:val="20"/>
        </w:rPr>
      </w:pPr>
      <w:r>
        <w:rPr>
          <w:rFonts w:cs="Arial" w:ascii="Arial" w:hAnsi="Arial"/>
          <w:b/>
          <w:bCs/>
          <w:sz w:val="20"/>
          <w:u w:val="single"/>
        </w:rPr>
        <w:t>Regional Scope</w:t>
      </w:r>
      <w:r>
        <w:rPr>
          <w:rFonts w:cs="Arial" w:ascii="Arial" w:hAnsi="Arial"/>
          <w:b/>
          <w:bCs/>
          <w:sz w:val="20"/>
        </w:rPr>
        <w:t>.</w:t>
      </w:r>
    </w:p>
    <w:p>
      <w:pPr>
        <w:pStyle w:val="BodyTextIndent2"/>
        <w:ind w:hanging="1080" w:start="1800" w:end="0"/>
        <w:rPr>
          <w:rFonts w:cs="Arial"/>
          <w:b w:val="false"/>
          <w:bCs w:val="false"/>
          <w:sz w:val="20"/>
        </w:rPr>
      </w:pPr>
      <w:r>
        <w:rPr>
          <w:rFonts w:cs="Arial"/>
          <w:b w:val="false"/>
          <w:bCs w:val="false"/>
          <w:sz w:val="20"/>
        </w:rPr>
        <w:t>Principle:  The RTO’s operational authority should match the geographic scale of the relevant energy market.</w:t>
      </w:r>
    </w:p>
    <w:p>
      <w:pPr>
        <w:pStyle w:val="BodyTextIndent2"/>
        <w:ind w:hanging="1080" w:start="1800" w:end="0"/>
        <w:rPr>
          <w:rFonts w:cs="Arial"/>
          <w:b w:val="false"/>
          <w:bCs w:val="false"/>
          <w:sz w:val="20"/>
        </w:rPr>
      </w:pPr>
      <w:r>
        <w:rPr>
          <w:rFonts w:cs="Arial"/>
          <w:b w:val="false"/>
          <w:bCs w:val="false"/>
          <w:sz w:val="20"/>
        </w:rPr>
      </w:r>
    </w:p>
    <w:p>
      <w:pPr>
        <w:pStyle w:val="BodyTextIndent2"/>
        <w:numPr>
          <w:ilvl w:val="0"/>
          <w:numId w:val="5"/>
        </w:numPr>
        <w:rPr>
          <w:rFonts w:cs="Arial"/>
          <w:b w:val="false"/>
          <w:bCs w:val="false"/>
          <w:sz w:val="20"/>
        </w:rPr>
      </w:pPr>
      <w:r>
        <w:rPr>
          <w:rFonts w:cs="Arial"/>
          <w:b w:val="false"/>
          <w:bCs w:val="false"/>
          <w:sz w:val="20"/>
        </w:rPr>
        <w:t xml:space="preserve">Since there is only one market in the West, a single West-Wide RTO is preferable. </w:t>
      </w:r>
    </w:p>
    <w:p>
      <w:pPr>
        <w:pStyle w:val="BodyTextIndent2"/>
        <w:numPr>
          <w:ilvl w:val="0"/>
          <w:numId w:val="5"/>
        </w:numPr>
        <w:rPr>
          <w:rFonts w:cs="Arial"/>
          <w:b w:val="false"/>
          <w:bCs w:val="false"/>
          <w:sz w:val="20"/>
        </w:rPr>
      </w:pPr>
      <w:r>
        <w:rPr>
          <w:rFonts w:cs="Arial"/>
          <w:b w:val="false"/>
          <w:bCs w:val="false"/>
          <w:sz w:val="20"/>
        </w:rPr>
        <w:t>A balance of state interests will be best achieved in a large organization not dominated by any single state’s influence.</w:t>
      </w:r>
    </w:p>
    <w:p>
      <w:pPr>
        <w:pStyle w:val="BodyTextIndent2"/>
        <w:numPr>
          <w:ilvl w:val="0"/>
          <w:numId w:val="5"/>
        </w:numPr>
        <w:rPr>
          <w:rFonts w:cs="Arial"/>
          <w:b w:val="false"/>
          <w:bCs w:val="false"/>
          <w:sz w:val="20"/>
        </w:rPr>
      </w:pPr>
      <w:r>
        <w:rPr>
          <w:rFonts w:cs="Arial"/>
          <w:b w:val="false"/>
          <w:bCs w:val="false"/>
          <w:sz w:val="20"/>
        </w:rPr>
        <w:t>Smaller RTOs (RTO West, DSTAR) which can only work if implemented quickly, contain the key components and address seams issues.</w:t>
      </w:r>
    </w:p>
    <w:p>
      <w:pPr>
        <w:pStyle w:val="Normal"/>
        <w:ind w:start="720" w:end="0"/>
        <w:rPr>
          <w:rFonts w:ascii="Arial" w:hAnsi="Arial" w:cs="Arial"/>
          <w:b/>
          <w:bCs/>
          <w:i/>
          <w:i/>
          <w:iCs/>
          <w:sz w:val="20"/>
        </w:rPr>
      </w:pPr>
      <w:r>
        <w:rPr>
          <w:rFonts w:cs="Arial" w:ascii="Arial" w:hAnsi="Arial"/>
          <w:b/>
          <w:bCs/>
          <w:i/>
          <w:iCs/>
          <w:sz w:val="20"/>
        </w:rPr>
      </w:r>
    </w:p>
    <w:p>
      <w:pPr>
        <w:pStyle w:val="Normal"/>
        <w:numPr>
          <w:ilvl w:val="0"/>
          <w:numId w:val="2"/>
        </w:numPr>
        <w:rPr>
          <w:rFonts w:ascii="Arial" w:hAnsi="Arial" w:cs="Arial"/>
          <w:b/>
          <w:bCs/>
          <w:sz w:val="20"/>
        </w:rPr>
      </w:pPr>
      <w:r>
        <w:rPr>
          <w:rFonts w:cs="Arial" w:ascii="Arial" w:hAnsi="Arial"/>
          <w:b/>
          <w:bCs/>
          <w:sz w:val="20"/>
          <w:u w:val="single"/>
        </w:rPr>
        <w:t>Pricing Reform – Pancaking and Congestion Management</w:t>
      </w:r>
      <w:r>
        <w:rPr>
          <w:rFonts w:cs="Arial" w:ascii="Arial" w:hAnsi="Arial"/>
          <w:b/>
          <w:bCs/>
          <w:sz w:val="20"/>
        </w:rPr>
        <w:t>.</w:t>
      </w:r>
    </w:p>
    <w:p>
      <w:pPr>
        <w:pStyle w:val="BodyTextIndent2"/>
        <w:ind w:hanging="1080" w:start="1800" w:end="0"/>
        <w:rPr>
          <w:rFonts w:cs="Arial"/>
          <w:b w:val="false"/>
          <w:bCs w:val="false"/>
          <w:sz w:val="20"/>
        </w:rPr>
      </w:pPr>
      <w:r>
        <w:rPr>
          <w:rFonts w:cs="Arial"/>
          <w:b w:val="false"/>
          <w:bCs w:val="false"/>
          <w:sz w:val="20"/>
        </w:rPr>
        <w:t xml:space="preserve">Principle:  Pancaking of fixed charges must be eliminated and a congestion management system must be put in place. </w:t>
      </w:r>
    </w:p>
    <w:p>
      <w:pPr>
        <w:pStyle w:val="BodyTextIndent2"/>
        <w:ind w:hanging="1080" w:start="1800" w:end="0"/>
        <w:rPr>
          <w:rFonts w:cs="Arial"/>
          <w:b w:val="false"/>
          <w:bCs w:val="false"/>
          <w:sz w:val="20"/>
        </w:rPr>
      </w:pPr>
      <w:r>
        <w:rPr>
          <w:rFonts w:cs="Arial"/>
          <w:b w:val="false"/>
          <w:bCs w:val="false"/>
          <w:sz w:val="20"/>
        </w:rPr>
      </w:r>
    </w:p>
    <w:p>
      <w:pPr>
        <w:pStyle w:val="BodyTextIndent2"/>
        <w:numPr>
          <w:ilvl w:val="0"/>
          <w:numId w:val="5"/>
        </w:numPr>
        <w:rPr>
          <w:rFonts w:cs="Arial"/>
          <w:b w:val="false"/>
          <w:bCs w:val="false"/>
          <w:sz w:val="20"/>
        </w:rPr>
      </w:pPr>
      <w:r>
        <w:rPr>
          <w:rFonts w:cs="Arial"/>
          <w:b w:val="false"/>
          <w:bCs w:val="false"/>
          <w:sz w:val="20"/>
        </w:rPr>
        <w:t>“</w:t>
      </w:r>
      <w:r>
        <w:rPr>
          <w:rFonts w:cs="Arial"/>
          <w:b w:val="false"/>
          <w:bCs w:val="false"/>
          <w:sz w:val="20"/>
        </w:rPr>
        <w:t>License plate” access fees can mitigate cost shifts between parties.</w:t>
      </w:r>
    </w:p>
    <w:p>
      <w:pPr>
        <w:pStyle w:val="BodyTextIndent2"/>
        <w:numPr>
          <w:ilvl w:val="0"/>
          <w:numId w:val="5"/>
        </w:numPr>
        <w:rPr>
          <w:rFonts w:cs="Arial"/>
          <w:b w:val="false"/>
          <w:bCs w:val="false"/>
          <w:sz w:val="20"/>
        </w:rPr>
      </w:pPr>
      <w:r>
        <w:rPr>
          <w:rFonts w:cs="Arial"/>
          <w:b w:val="false"/>
          <w:bCs w:val="false"/>
          <w:sz w:val="20"/>
        </w:rPr>
        <w:t>Efficient use of the system requires pricing of transmission congestion and zonal prices for balancing and settlement of forward energy sales and purchases.</w:t>
      </w:r>
    </w:p>
    <w:p>
      <w:pPr>
        <w:pStyle w:val="BodyTextIndent2"/>
        <w:numPr>
          <w:ilvl w:val="0"/>
          <w:numId w:val="5"/>
        </w:numPr>
        <w:rPr>
          <w:rFonts w:cs="Arial"/>
          <w:b w:val="false"/>
          <w:bCs w:val="false"/>
          <w:sz w:val="20"/>
        </w:rPr>
      </w:pPr>
      <w:r>
        <w:rPr>
          <w:rFonts w:cs="Arial"/>
          <w:b w:val="false"/>
          <w:bCs w:val="false"/>
          <w:sz w:val="20"/>
        </w:rPr>
        <w:t>A tradable property right must be defined to allow parties to hedge congestion cost.</w:t>
      </w:r>
    </w:p>
    <w:p>
      <w:pPr>
        <w:pStyle w:val="BodyTextIndent2"/>
        <w:ind w:hanging="0" w:start="0" w:end="0"/>
        <w:rPr>
          <w:rFonts w:cs="Arial"/>
          <w:b w:val="false"/>
          <w:bCs w:val="false"/>
          <w:sz w:val="20"/>
        </w:rPr>
      </w:pPr>
      <w:r>
        <w:rPr>
          <w:rFonts w:cs="Arial"/>
          <w:b w:val="false"/>
          <w:bCs w:val="false"/>
          <w:sz w:val="20"/>
        </w:rPr>
      </w:r>
    </w:p>
    <w:p>
      <w:pPr>
        <w:pStyle w:val="Normal"/>
        <w:numPr>
          <w:ilvl w:val="0"/>
          <w:numId w:val="2"/>
        </w:numPr>
        <w:rPr>
          <w:rFonts w:ascii="Arial" w:hAnsi="Arial" w:cs="Arial"/>
          <w:b/>
          <w:bCs/>
          <w:sz w:val="20"/>
          <w:u w:val="single"/>
        </w:rPr>
      </w:pPr>
      <w:r>
        <w:rPr>
          <w:rFonts w:cs="Arial" w:ascii="Arial" w:hAnsi="Arial"/>
          <w:b/>
          <w:bCs/>
          <w:sz w:val="20"/>
          <w:u w:val="single"/>
        </w:rPr>
        <w:t>Planning and Expansion Authority</w:t>
      </w:r>
      <w:r>
        <w:rPr>
          <w:rFonts w:cs="Arial" w:ascii="Arial" w:hAnsi="Arial"/>
          <w:b/>
          <w:bCs/>
          <w:sz w:val="20"/>
        </w:rPr>
        <w:t>.</w:t>
      </w:r>
    </w:p>
    <w:p>
      <w:pPr>
        <w:pStyle w:val="BodyTextIndent2"/>
        <w:ind w:hanging="1080" w:start="1800" w:end="0"/>
        <w:rPr>
          <w:rFonts w:cs="Arial"/>
          <w:b w:val="false"/>
          <w:bCs w:val="false"/>
          <w:sz w:val="20"/>
        </w:rPr>
      </w:pPr>
      <w:r>
        <w:rPr>
          <w:rFonts w:cs="Arial"/>
          <w:b w:val="false"/>
          <w:bCs w:val="false"/>
          <w:sz w:val="20"/>
        </w:rPr>
        <w:t xml:space="preserve">Principle:  The RTO must have authority to plan for future needs and to enable expansion of the transmission system. </w:t>
      </w:r>
    </w:p>
    <w:p>
      <w:pPr>
        <w:pStyle w:val="BodyTextIndent2"/>
        <w:ind w:hanging="1080" w:start="1800" w:end="0"/>
        <w:rPr>
          <w:rFonts w:cs="Arial"/>
          <w:b w:val="false"/>
          <w:bCs w:val="false"/>
          <w:sz w:val="20"/>
        </w:rPr>
      </w:pPr>
      <w:r>
        <w:rPr>
          <w:rFonts w:cs="Arial"/>
          <w:b w:val="false"/>
          <w:bCs w:val="false"/>
          <w:sz w:val="20"/>
        </w:rPr>
      </w:r>
    </w:p>
    <w:p>
      <w:pPr>
        <w:pStyle w:val="BodyTextIndent2"/>
        <w:numPr>
          <w:ilvl w:val="0"/>
          <w:numId w:val="5"/>
        </w:numPr>
        <w:rPr>
          <w:rFonts w:cs="Arial"/>
          <w:b w:val="false"/>
          <w:bCs w:val="false"/>
          <w:sz w:val="20"/>
        </w:rPr>
      </w:pPr>
      <w:r>
        <w:rPr>
          <w:rFonts w:cs="Arial"/>
          <w:b w:val="false"/>
          <w:bCs w:val="false"/>
          <w:sz w:val="20"/>
        </w:rPr>
        <w:t>Conducts planning studies for both local and inter-regional market need.</w:t>
      </w:r>
    </w:p>
    <w:p>
      <w:pPr>
        <w:pStyle w:val="BodyTextIndent2"/>
        <w:numPr>
          <w:ilvl w:val="0"/>
          <w:numId w:val="5"/>
        </w:numPr>
        <w:rPr>
          <w:rFonts w:cs="Arial"/>
          <w:b w:val="false"/>
          <w:bCs w:val="false"/>
          <w:sz w:val="20"/>
        </w:rPr>
      </w:pPr>
      <w:r>
        <w:rPr>
          <w:rFonts w:cs="Arial"/>
          <w:b w:val="false"/>
          <w:bCs w:val="false"/>
          <w:sz w:val="20"/>
        </w:rPr>
        <w:t>Authority to cause transmission owners to build new facilities as needed.</w:t>
      </w:r>
    </w:p>
    <w:p>
      <w:pPr>
        <w:pStyle w:val="BodyTextIndent2"/>
        <w:numPr>
          <w:ilvl w:val="0"/>
          <w:numId w:val="5"/>
        </w:numPr>
        <w:rPr>
          <w:rFonts w:cs="Arial"/>
          <w:b w:val="false"/>
          <w:bCs w:val="false"/>
          <w:sz w:val="20"/>
        </w:rPr>
      </w:pPr>
      <w:r>
        <w:rPr>
          <w:rFonts w:cs="Arial"/>
          <w:b w:val="false"/>
          <w:bCs w:val="false"/>
          <w:sz w:val="20"/>
        </w:rPr>
        <w:t>Cost of local transmission included in access fees.</w:t>
      </w:r>
    </w:p>
    <w:p>
      <w:pPr>
        <w:pStyle w:val="BodyTextIndent2"/>
        <w:numPr>
          <w:ilvl w:val="0"/>
          <w:numId w:val="5"/>
        </w:numPr>
        <w:rPr>
          <w:rFonts w:cs="Arial"/>
          <w:b w:val="false"/>
          <w:bCs w:val="false"/>
          <w:sz w:val="20"/>
        </w:rPr>
      </w:pPr>
      <w:r>
        <w:rPr>
          <w:rFonts w:cs="Arial"/>
          <w:b w:val="false"/>
          <w:bCs w:val="false"/>
          <w:sz w:val="20"/>
        </w:rPr>
        <w:t>Cost of inter-regional transmission expansion covered by benefiting parties who fund in exchange for transmission property rights.</w:t>
      </w:r>
    </w:p>
    <w:p>
      <w:pPr>
        <w:pStyle w:val="Normal"/>
        <w:rPr>
          <w:rFonts w:ascii="Arial" w:hAnsi="Arial" w:cs="Arial"/>
          <w:b/>
          <w:bCs/>
          <w:sz w:val="20"/>
        </w:rPr>
      </w:pPr>
      <w:r>
        <w:rPr>
          <w:rFonts w:cs="Arial" w:ascii="Arial" w:hAnsi="Arial"/>
          <w:b/>
          <w:bCs/>
          <w:sz w:val="20"/>
        </w:rPr>
      </w:r>
    </w:p>
    <w:p>
      <w:pPr>
        <w:pStyle w:val="Normal"/>
        <w:numPr>
          <w:ilvl w:val="0"/>
          <w:numId w:val="2"/>
        </w:numPr>
        <w:rPr>
          <w:rFonts w:ascii="Arial" w:hAnsi="Arial" w:cs="Arial"/>
          <w:b/>
          <w:bCs/>
          <w:sz w:val="20"/>
        </w:rPr>
      </w:pPr>
      <w:r>
        <w:rPr>
          <w:rFonts w:cs="Arial" w:ascii="Arial" w:hAnsi="Arial"/>
          <w:b/>
          <w:bCs/>
          <w:sz w:val="20"/>
          <w:u w:val="single"/>
        </w:rPr>
        <w:t>Operational Authority</w:t>
      </w:r>
      <w:r>
        <w:rPr>
          <w:rFonts w:cs="Arial" w:ascii="Arial" w:hAnsi="Arial"/>
          <w:b/>
          <w:bCs/>
          <w:sz w:val="20"/>
        </w:rPr>
        <w:t>.</w:t>
      </w:r>
    </w:p>
    <w:p>
      <w:pPr>
        <w:pStyle w:val="BodyTextIndent2"/>
        <w:ind w:hanging="1080" w:start="1800" w:end="0"/>
        <w:rPr>
          <w:rFonts w:cs="Arial"/>
          <w:b w:val="false"/>
          <w:bCs w:val="false"/>
          <w:sz w:val="20"/>
        </w:rPr>
      </w:pPr>
      <w:r>
        <w:rPr>
          <w:rFonts w:cs="Arial"/>
          <w:b w:val="false"/>
          <w:bCs w:val="false"/>
          <w:sz w:val="20"/>
        </w:rPr>
        <w:t xml:space="preserve">Principle:  The RTO should operate as a single control area and provide all transmission service under its own FERC tariff. </w:t>
      </w:r>
    </w:p>
    <w:p>
      <w:pPr>
        <w:pStyle w:val="BodyTextIndent2"/>
        <w:ind w:hanging="1080" w:start="1800" w:end="0"/>
        <w:rPr>
          <w:rFonts w:cs="Arial"/>
          <w:b w:val="false"/>
          <w:bCs w:val="false"/>
          <w:sz w:val="20"/>
        </w:rPr>
      </w:pPr>
      <w:r>
        <w:rPr>
          <w:rFonts w:cs="Arial"/>
          <w:b w:val="false"/>
          <w:bCs w:val="false"/>
          <w:sz w:val="20"/>
        </w:rPr>
      </w:r>
    </w:p>
    <w:p>
      <w:pPr>
        <w:pStyle w:val="BodyTextIndent2"/>
        <w:numPr>
          <w:ilvl w:val="0"/>
          <w:numId w:val="5"/>
        </w:numPr>
        <w:rPr>
          <w:rFonts w:cs="Arial"/>
          <w:b w:val="false"/>
          <w:bCs w:val="false"/>
          <w:sz w:val="20"/>
        </w:rPr>
      </w:pPr>
      <w:r>
        <w:rPr>
          <w:rFonts w:cs="Arial"/>
          <w:b w:val="false"/>
          <w:bCs w:val="false"/>
          <w:sz w:val="20"/>
        </w:rPr>
        <w:t>RTO must have full authority over scheduling, dispatch, outages, switching, etc.</w:t>
      </w:r>
    </w:p>
    <w:p>
      <w:pPr>
        <w:pStyle w:val="BodyTextIndent2"/>
        <w:numPr>
          <w:ilvl w:val="0"/>
          <w:numId w:val="5"/>
        </w:numPr>
        <w:rPr>
          <w:rFonts w:cs="Arial"/>
          <w:b w:val="false"/>
          <w:bCs w:val="false"/>
          <w:sz w:val="20"/>
        </w:rPr>
      </w:pPr>
      <w:r>
        <w:rPr>
          <w:rFonts w:cs="Arial"/>
          <w:b w:val="false"/>
          <w:bCs w:val="false"/>
          <w:sz w:val="20"/>
        </w:rPr>
        <w:t>Utilities and all others subject to the same tariff price, terms and conditions.</w:t>
      </w:r>
    </w:p>
    <w:p>
      <w:pPr>
        <w:pStyle w:val="Normal"/>
        <w:rPr>
          <w:rFonts w:ascii="Arial" w:hAnsi="Arial" w:cs="Arial"/>
          <w:b/>
          <w:bCs/>
          <w:sz w:val="20"/>
        </w:rPr>
      </w:pPr>
      <w:r>
        <w:rPr>
          <w:rFonts w:cs="Arial" w:ascii="Arial" w:hAnsi="Arial"/>
          <w:b/>
          <w:bCs/>
          <w:sz w:val="20"/>
        </w:rPr>
      </w:r>
    </w:p>
    <w:p>
      <w:pPr>
        <w:pStyle w:val="BodyText"/>
        <w:jc w:val="center"/>
        <w:rPr>
          <w:rFonts w:ascii="Arial" w:hAnsi="Arial" w:cs="Arial"/>
          <w:b/>
          <w:bCs/>
          <w:sz w:val="24"/>
        </w:rPr>
      </w:pPr>
      <w:r>
        <w:rPr>
          <w:rFonts w:cs="Arial"/>
          <w:b/>
          <w:bCs/>
          <w:sz w:val="24"/>
        </w:rPr>
      </w:r>
    </w:p>
    <w:p>
      <w:pPr>
        <w:pStyle w:val="BodyText"/>
        <w:jc w:val="center"/>
        <w:rPr>
          <w:b/>
          <w:bCs/>
          <w:sz w:val="24"/>
        </w:rPr>
      </w:pPr>
      <w:r>
        <w:rPr>
          <w:b/>
          <w:bCs/>
          <w:sz w:val="24"/>
        </w:rPr>
      </w:r>
    </w:p>
    <w:p>
      <w:pPr>
        <w:pStyle w:val="BodyText"/>
        <w:jc w:val="center"/>
        <w:rPr>
          <w:b/>
          <w:bCs/>
          <w:sz w:val="24"/>
        </w:rPr>
      </w:pPr>
      <w:r>
        <w:rPr>
          <w:b/>
          <w:bCs/>
          <w:sz w:val="24"/>
        </w:rPr>
      </w:r>
    </w:p>
    <w:p>
      <w:pPr>
        <w:pStyle w:val="BodyText"/>
        <w:jc w:val="center"/>
        <w:rPr>
          <w:b/>
          <w:bCs/>
          <w:sz w:val="24"/>
        </w:rPr>
      </w:pPr>
      <w:r>
        <w:rPr>
          <w:b/>
          <w:bCs/>
          <w:sz w:val="24"/>
        </w:rPr>
      </w:r>
    </w:p>
    <w:p>
      <w:pPr>
        <w:pStyle w:val="BodyText"/>
        <w:jc w:val="center"/>
        <w:rPr>
          <w:b/>
          <w:bCs/>
          <w:sz w:val="24"/>
        </w:rPr>
      </w:pPr>
      <w:r>
        <w:rPr>
          <w:b/>
          <w:bCs/>
          <w:sz w:val="24"/>
        </w:rPr>
      </w:r>
    </w:p>
    <w:p>
      <w:pPr>
        <w:pStyle w:val="BodyText"/>
        <w:jc w:val="center"/>
        <w:rPr>
          <w:b/>
          <w:bCs/>
          <w:sz w:val="24"/>
        </w:rPr>
      </w:pPr>
      <w:r>
        <w:rPr>
          <w:b/>
          <w:bCs/>
          <w:sz w:val="24"/>
        </w:rPr>
      </w:r>
    </w:p>
    <w:p>
      <w:pPr>
        <w:pStyle w:val="BodyText"/>
        <w:jc w:val="center"/>
        <w:rPr>
          <w:b/>
          <w:bCs/>
          <w:sz w:val="24"/>
        </w:rPr>
      </w:pPr>
      <w:r>
        <w:rPr>
          <w:b/>
          <w:bCs/>
          <w:sz w:val="24"/>
        </w:rPr>
      </w:r>
    </w:p>
    <w:p>
      <w:pPr>
        <w:pStyle w:val="BodyText"/>
        <w:jc w:val="center"/>
        <w:rPr>
          <w:b/>
          <w:bCs/>
          <w:sz w:val="24"/>
        </w:rPr>
      </w:pPr>
      <w:r>
        <w:rPr>
          <w:b/>
          <w:bCs/>
          <w:sz w:val="24"/>
        </w:rPr>
      </w:r>
    </w:p>
    <w:p>
      <w:pPr>
        <w:pStyle w:val="BodyText"/>
        <w:jc w:val="center"/>
        <w:rPr>
          <w:b/>
          <w:bCs/>
          <w:sz w:val="24"/>
        </w:rPr>
      </w:pPr>
      <w:r>
        <w:rPr>
          <w:b/>
          <w:bCs/>
          <w:sz w:val="24"/>
        </w:rPr>
      </w:r>
    </w:p>
    <w:p>
      <w:pPr>
        <w:pStyle w:val="BodyText"/>
        <w:jc w:val="center"/>
        <w:rPr>
          <w:b/>
          <w:bCs/>
          <w:sz w:val="24"/>
        </w:rPr>
      </w:pPr>
      <w:r>
        <w:rPr>
          <w:b/>
          <w:bCs/>
          <w:sz w:val="24"/>
        </w:rPr>
      </w:r>
    </w:p>
    <w:p>
      <w:pPr>
        <w:pStyle w:val="BodyText"/>
        <w:jc w:val="center"/>
        <w:rPr>
          <w:b/>
          <w:bCs/>
          <w:sz w:val="24"/>
        </w:rPr>
      </w:pPr>
      <w:r>
        <w:rPr>
          <w:b/>
          <w:bCs/>
          <w:sz w:val="24"/>
        </w:rPr>
      </w:r>
    </w:p>
    <w:p>
      <w:pPr>
        <w:pStyle w:val="Heading2"/>
        <w:ind w:hanging="0" w:start="0"/>
        <w:rPr>
          <w:rFonts w:ascii="Arial" w:hAnsi="Arial" w:cs="Arial"/>
          <w:b w:val="false"/>
          <w:bCs w:val="false"/>
          <w:sz w:val="20"/>
        </w:rPr>
      </w:pPr>
      <w:r>
        <w:rPr>
          <w:rFonts w:cs="Arial" w:ascii="Arial" w:hAnsi="Arial"/>
          <w:b w:val="false"/>
          <w:bCs w:val="false"/>
          <w:sz w:val="20"/>
        </w:rPr>
      </w:r>
    </w:p>
    <w:p>
      <w:pPr>
        <w:pStyle w:val="Heading2"/>
        <w:ind w:hanging="0" w:start="0"/>
        <w:jc w:val="center"/>
        <w:rPr>
          <w:rFonts w:ascii="Arial" w:hAnsi="Arial" w:cs="Arial"/>
        </w:rPr>
      </w:pPr>
      <w:r>
        <w:rPr>
          <w:rFonts w:cs="Arial" w:ascii="Arial" w:hAnsi="Arial"/>
        </w:rPr>
        <w:t>AN UPDATE OF THE REFUND PROCEEDINGS AND NEXT STEPS</w:t>
      </w:r>
    </w:p>
    <w:p>
      <w:pPr>
        <w:pStyle w:val="Normal"/>
        <w:rPr>
          <w:rFonts w:ascii="Arial" w:hAnsi="Arial" w:cs="Arial"/>
          <w:sz w:val="20"/>
        </w:rPr>
      </w:pPr>
      <w:r>
        <w:rPr>
          <w:rFonts w:cs="Arial" w:ascii="Arial" w:hAnsi="Arial"/>
          <w:sz w:val="20"/>
        </w:rPr>
      </w:r>
    </w:p>
    <w:p>
      <w:pPr>
        <w:pStyle w:val="BodyTextIndent"/>
        <w:ind w:hanging="0" w:end="0"/>
        <w:rPr>
          <w:rFonts w:ascii="Arial" w:hAnsi="Arial" w:cs="Arial"/>
          <w:sz w:val="20"/>
        </w:rPr>
      </w:pPr>
      <w:r>
        <w:rPr>
          <w:rFonts w:cs="Arial" w:ascii="Arial" w:hAnsi="Arial"/>
          <w:sz w:val="20"/>
        </w:rPr>
        <w:t xml:space="preserve">The Federal Energy Regulatory Commission (FERC) is currently investigating spot market transactions that occurred in the Pacific Northwest between December 25, 2000 and June 20, 2001.  The FERC wants to “determine the extent to which the dysfunctions in the California markets may have affected decisions the Pacific Northwest.”  </w:t>
      </w:r>
    </w:p>
    <w:p>
      <w:pPr>
        <w:pStyle w:val="Normal"/>
        <w:ind w:firstLine="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The vast majority of participants in the Pacific Northwest are not seeking refunds.  Those parties who are seeking refunds and the amounts claimed are as follows:</w:t>
      </w:r>
    </w:p>
    <w:p>
      <w:pPr>
        <w:pStyle w:val="Normal"/>
        <w:ind w:firstLine="720" w:end="0"/>
        <w:rPr>
          <w:rFonts w:ascii="Arial" w:hAnsi="Arial" w:cs="Arial"/>
          <w:sz w:val="20"/>
        </w:rPr>
      </w:pPr>
      <w:r>
        <w:rPr>
          <w:rFonts w:cs="Arial" w:ascii="Arial" w:hAnsi="Arial"/>
          <w:sz w:val="20"/>
        </w:rPr>
      </w:r>
    </w:p>
    <w:p>
      <w:pPr>
        <w:pStyle w:val="Normal"/>
        <w:numPr>
          <w:ilvl w:val="0"/>
          <w:numId w:val="3"/>
        </w:numPr>
        <w:rPr>
          <w:rFonts w:ascii="Arial" w:hAnsi="Arial" w:cs="Arial"/>
          <w:sz w:val="20"/>
        </w:rPr>
      </w:pPr>
      <w:r>
        <w:rPr>
          <w:rFonts w:cs="Arial" w:ascii="Arial" w:hAnsi="Arial"/>
          <w:sz w:val="20"/>
        </w:rPr>
        <w:t xml:space="preserve">California Department of Water Resources ($1.5 Billion); </w:t>
      </w:r>
    </w:p>
    <w:p>
      <w:pPr>
        <w:pStyle w:val="Normal"/>
        <w:numPr>
          <w:ilvl w:val="0"/>
          <w:numId w:val="3"/>
        </w:numPr>
        <w:rPr>
          <w:rFonts w:ascii="Arial" w:hAnsi="Arial" w:cs="Arial"/>
          <w:sz w:val="20"/>
        </w:rPr>
      </w:pPr>
      <w:r>
        <w:rPr>
          <w:rFonts w:cs="Arial" w:ascii="Arial" w:hAnsi="Arial"/>
          <w:sz w:val="20"/>
        </w:rPr>
        <w:t xml:space="preserve">City of Seattle ($278 million); </w:t>
      </w:r>
    </w:p>
    <w:p>
      <w:pPr>
        <w:pStyle w:val="Normal"/>
        <w:numPr>
          <w:ilvl w:val="0"/>
          <w:numId w:val="3"/>
        </w:numPr>
        <w:rPr>
          <w:rFonts w:ascii="Arial" w:hAnsi="Arial" w:cs="Arial"/>
          <w:sz w:val="20"/>
        </w:rPr>
      </w:pPr>
      <w:r>
        <w:rPr>
          <w:rFonts w:cs="Arial" w:ascii="Arial" w:hAnsi="Arial"/>
          <w:sz w:val="20"/>
        </w:rPr>
        <w:t xml:space="preserve">City of Tacoma ($65 million); </w:t>
      </w:r>
    </w:p>
    <w:p>
      <w:pPr>
        <w:pStyle w:val="Normal"/>
        <w:numPr>
          <w:ilvl w:val="0"/>
          <w:numId w:val="3"/>
        </w:numPr>
        <w:rPr>
          <w:rFonts w:ascii="Arial" w:hAnsi="Arial" w:cs="Arial"/>
          <w:sz w:val="20"/>
        </w:rPr>
      </w:pPr>
      <w:r>
        <w:rPr>
          <w:rFonts w:cs="Arial" w:ascii="Arial" w:hAnsi="Arial"/>
          <w:sz w:val="20"/>
        </w:rPr>
        <w:t xml:space="preserve">Clark Public Utilities ($64 million); </w:t>
      </w:r>
    </w:p>
    <w:p>
      <w:pPr>
        <w:pStyle w:val="Normal"/>
        <w:numPr>
          <w:ilvl w:val="0"/>
          <w:numId w:val="3"/>
        </w:numPr>
        <w:rPr>
          <w:rFonts w:ascii="Arial" w:hAnsi="Arial" w:cs="Arial"/>
          <w:sz w:val="20"/>
        </w:rPr>
      </w:pPr>
      <w:r>
        <w:rPr>
          <w:rFonts w:cs="Arial" w:ascii="Arial" w:hAnsi="Arial"/>
          <w:sz w:val="20"/>
        </w:rPr>
        <w:t xml:space="preserve">Eugene Water and Electric Board ($40 million); </w:t>
      </w:r>
    </w:p>
    <w:p>
      <w:pPr>
        <w:pStyle w:val="Normal"/>
        <w:numPr>
          <w:ilvl w:val="0"/>
          <w:numId w:val="3"/>
        </w:numPr>
        <w:rPr>
          <w:rFonts w:ascii="Arial" w:hAnsi="Arial" w:cs="Arial"/>
          <w:sz w:val="20"/>
        </w:rPr>
      </w:pPr>
      <w:r>
        <w:rPr>
          <w:rFonts w:cs="Arial" w:ascii="Arial" w:hAnsi="Arial"/>
          <w:sz w:val="20"/>
        </w:rPr>
        <w:t xml:space="preserve">Northern Wasco County ($4 million); </w:t>
      </w:r>
    </w:p>
    <w:p>
      <w:pPr>
        <w:pStyle w:val="Normal"/>
        <w:numPr>
          <w:ilvl w:val="0"/>
          <w:numId w:val="3"/>
        </w:numPr>
        <w:rPr>
          <w:rFonts w:ascii="Arial" w:hAnsi="Arial" w:cs="Arial"/>
          <w:sz w:val="20"/>
        </w:rPr>
      </w:pPr>
      <w:r>
        <w:rPr>
          <w:rFonts w:cs="Arial" w:ascii="Arial" w:hAnsi="Arial"/>
          <w:sz w:val="20"/>
        </w:rPr>
        <w:t>Port of Seattle ($9 million); and</w:t>
      </w:r>
    </w:p>
    <w:p>
      <w:pPr>
        <w:pStyle w:val="Normal"/>
        <w:numPr>
          <w:ilvl w:val="0"/>
          <w:numId w:val="3"/>
        </w:numPr>
        <w:rPr>
          <w:rFonts w:ascii="Arial" w:hAnsi="Arial" w:cs="Arial"/>
          <w:sz w:val="20"/>
        </w:rPr>
      </w:pPr>
      <w:r>
        <w:rPr>
          <w:rFonts w:cs="Arial" w:ascii="Arial" w:hAnsi="Arial"/>
          <w:sz w:val="20"/>
        </w:rPr>
        <w:t>Sacramento Municipal Utility District $4.5 million).</w:t>
      </w:r>
    </w:p>
    <w:p>
      <w:pPr>
        <w:pStyle w:val="Normal"/>
        <w:ind w:firstLine="72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Enron, along with approximately 25 other parties, have filed testimony opposing these refund claims.  The fundamental issue raised by these claims is whether the FERC should modify bilateral contracts when there has been no showing of market power or improper conduct.  High spot prices in the Pacific Northwest were caused by a variety of market factors, most notably low water levels (affecting hydropower production) and very high natural gas prices.  The vast majority of market participants do not seek refunds and believe that it would be poor public policy to place FERC in the role of retroactively reallocating the risks and rewards in a competitive market.  </w:t>
      </w:r>
    </w:p>
    <w:p>
      <w:pPr>
        <w:pStyle w:val="Normal"/>
        <w:ind w:firstLine="360" w:end="0"/>
        <w:rPr>
          <w:rFonts w:ascii="Arial" w:hAnsi="Arial" w:cs="Arial"/>
          <w:sz w:val="20"/>
        </w:rPr>
      </w:pPr>
      <w:r>
        <w:rPr>
          <w:rFonts w:cs="Arial" w:ascii="Arial" w:hAnsi="Arial"/>
          <w:sz w:val="20"/>
        </w:rPr>
      </w:r>
    </w:p>
    <w:p>
      <w:pPr>
        <w:sectPr>
          <w:type w:val="nextPage"/>
          <w:pgSz w:w="12240" w:h="15840"/>
          <w:pgMar w:left="1008" w:right="1008" w:gutter="0" w:header="0" w:top="720" w:footer="0" w:bottom="720"/>
          <w:pgNumType w:fmt="decimal"/>
          <w:formProt w:val="false"/>
          <w:textDirection w:val="lrTb"/>
          <w:docGrid w:type="default" w:linePitch="360" w:charSpace="0"/>
        </w:sectPr>
        <w:pStyle w:val="Normal"/>
        <w:rPr>
          <w:rFonts w:ascii="Arial" w:hAnsi="Arial" w:cs="Arial"/>
          <w:sz w:val="20"/>
        </w:rPr>
      </w:pPr>
      <w:r>
        <w:rPr>
          <w:rFonts w:cs="Arial" w:ascii="Arial" w:hAnsi="Arial"/>
          <w:sz w:val="20"/>
        </w:rPr>
        <w:t xml:space="preserve">Evidentiary hearings are scheduled to conclude by September 6, 2001, and the assigned Administrative Law Judge will issue findings of fact and make a formal recommendation to the full Commission by September 17, 2001.  It is expected that the FERC will act soon after receiving the ALJ’s recommendation, either by scheduling additional hearings or concluding that refunds are unwarranted.       </w:t>
      </w:r>
    </w:p>
    <w:p>
      <w:pPr>
        <w:pStyle w:val="Heading"/>
        <w:rPr>
          <w:rFonts w:ascii="Arial" w:hAnsi="Arial" w:cs="Arial"/>
          <w:sz w:val="20"/>
        </w:rPr>
      </w:pPr>
      <w:r>
        <w:rPr>
          <w:rFonts w:cs="Arial"/>
          <w:sz w:val="20"/>
        </w:rPr>
      </w:r>
    </w:p>
    <w:p>
      <w:pPr>
        <w:pStyle w:val="Heading"/>
        <w:rPr>
          <w:rFonts w:cs="Arial"/>
          <w:sz w:val="20"/>
        </w:rPr>
      </w:pPr>
      <w:r>
        <w:rPr>
          <w:rFonts w:cs="Arial"/>
          <w:sz w:val="20"/>
        </w:rPr>
      </w:r>
    </w:p>
    <w:p>
      <w:pPr>
        <w:pStyle w:val="Heading1"/>
        <w:ind w:hanging="0" w:start="720" w:end="0"/>
        <w:jc w:val="center"/>
        <w:rPr>
          <w:sz w:val="24"/>
          <w:u w:val="none"/>
        </w:rPr>
      </w:pPr>
      <w:r>
        <w:rPr>
          <w:sz w:val="24"/>
          <w:u w:val="none"/>
        </w:rPr>
        <w:t>A SUMMARY OF FERC'S WESTWIDE PRICE CAP ORDER AND IMPLICATIONS FOR WESTERN POWER MARKETS</w:t>
      </w:r>
    </w:p>
    <w:p>
      <w:pPr>
        <w:pStyle w:val="Normal"/>
        <w:ind w:firstLine="720" w:end="0"/>
        <w:rPr>
          <w:rFonts w:ascii="Arial" w:hAnsi="Arial" w:cs="Arial"/>
          <w:sz w:val="24"/>
          <w:u w:val="none"/>
        </w:rPr>
      </w:pPr>
      <w:r>
        <w:rPr>
          <w:rFonts w:cs="Arial" w:ascii="Arial" w:hAnsi="Arial"/>
          <w:sz w:val="24"/>
          <w:u w:val="none"/>
        </w:rPr>
      </w:r>
    </w:p>
    <w:p>
      <w:pPr>
        <w:pStyle w:val="Heading4"/>
        <w:ind w:start="0" w:end="0"/>
        <w:rPr>
          <w:rFonts w:ascii="Arial" w:hAnsi="Arial" w:cs="Arial"/>
        </w:rPr>
      </w:pPr>
      <w:r>
        <w:rPr>
          <w:rFonts w:cs="Arial" w:ascii="Arial" w:hAnsi="Arial"/>
        </w:rPr>
        <w:t>Introduction</w:t>
      </w:r>
    </w:p>
    <w:p>
      <w:pPr>
        <w:pStyle w:val="Normal"/>
        <w:ind w:firstLine="720" w:end="0"/>
        <w:rPr>
          <w:rFonts w:ascii="Arial" w:hAnsi="Arial" w:cs="Arial"/>
          <w:sz w:val="20"/>
        </w:rPr>
      </w:pPr>
      <w:r>
        <w:rPr>
          <w:rFonts w:cs="Arial" w:ascii="Arial" w:hAnsi="Arial"/>
          <w:sz w:val="20"/>
        </w:rPr>
      </w:r>
    </w:p>
    <w:p>
      <w:pPr>
        <w:pStyle w:val="Normal"/>
        <w:rPr/>
      </w:pPr>
      <w:r>
        <w:rPr>
          <w:rFonts w:cs="Arial" w:ascii="Arial" w:hAnsi="Arial"/>
          <w:sz w:val="20"/>
        </w:rPr>
        <w:t>On June 19, 2001 the FERC issued an order that expanded previously adopted wholesale electricity price controls applicable to the California market to the entire Western Interconnection.</w:t>
      </w:r>
      <w:r>
        <w:rPr>
          <w:rStyle w:val="FootnoteCharacters"/>
          <w:rStyle w:val="FootnoteReference"/>
          <w:rFonts w:cs="Arial" w:ascii="Arial" w:hAnsi="Arial"/>
          <w:sz w:val="20"/>
        </w:rPr>
        <w:footnoteReference w:id="2"/>
      </w:r>
      <w:r>
        <w:rPr>
          <w:rFonts w:cs="Arial" w:ascii="Arial" w:hAnsi="Arial"/>
          <w:sz w:val="20"/>
        </w:rPr>
        <w:t xml:space="preserve"> Westwide price mitigation went into effect on June 20, 2001 and, unless modified by the FERC, will continue through September 30, 2002.</w:t>
      </w:r>
      <w:r>
        <w:rPr>
          <w:rStyle w:val="FootnoteCharacters"/>
          <w:rStyle w:val="FootnoteReference"/>
          <w:rFonts w:cs="Arial" w:ascii="Arial" w:hAnsi="Arial"/>
          <w:sz w:val="20"/>
        </w:rPr>
        <w:footnoteReference w:id="3"/>
      </w:r>
      <w:r>
        <w:rPr>
          <w:rFonts w:cs="Arial" w:ascii="Arial" w:hAnsi="Arial"/>
          <w:sz w:val="20"/>
        </w:rPr>
        <w:t xml:space="preserve">  FERC’s action to expand price controls was in response to intense political pressure that may have resulted, absent FERC action, in a similar legislative outcome.  </w:t>
      </w:r>
    </w:p>
    <w:p>
      <w:pPr>
        <w:pStyle w:val="BodyTextIndent"/>
        <w:ind w:firstLine="720" w:end="0"/>
        <w:rPr>
          <w:rFonts w:ascii="Arial" w:hAnsi="Arial" w:cs="Arial"/>
          <w:sz w:val="20"/>
        </w:rPr>
      </w:pPr>
      <w:r>
        <w:rPr>
          <w:rFonts w:cs="Arial" w:ascii="Arial" w:hAnsi="Arial"/>
          <w:sz w:val="20"/>
        </w:rPr>
      </w:r>
    </w:p>
    <w:p>
      <w:pPr>
        <w:pStyle w:val="BodyTextIndent"/>
        <w:ind w:hanging="0" w:end="0"/>
        <w:rPr>
          <w:rFonts w:ascii="Arial" w:hAnsi="Arial" w:cs="Arial"/>
          <w:sz w:val="20"/>
        </w:rPr>
      </w:pPr>
      <w:r>
        <w:rPr>
          <w:rFonts w:cs="Arial" w:ascii="Arial" w:hAnsi="Arial"/>
          <w:sz w:val="20"/>
        </w:rPr>
        <w:t xml:space="preserve">The following paper describes the adopted mechanism and its implications on wholesale power markets. </w:t>
      </w:r>
    </w:p>
    <w:p>
      <w:pPr>
        <w:pStyle w:val="BodyTextIndent"/>
        <w:ind w:firstLine="720" w:end="0"/>
        <w:rPr>
          <w:rFonts w:ascii="Arial" w:hAnsi="Arial" w:cs="Arial"/>
          <w:sz w:val="20"/>
        </w:rPr>
      </w:pPr>
      <w:r>
        <w:rPr>
          <w:rFonts w:cs="Arial" w:ascii="Arial" w:hAnsi="Arial"/>
          <w:sz w:val="20"/>
        </w:rPr>
      </w:r>
    </w:p>
    <w:p>
      <w:pPr>
        <w:pStyle w:val="Heading5"/>
        <w:ind w:hanging="0" w:end="0"/>
        <w:rPr>
          <w:rFonts w:ascii="Arial" w:hAnsi="Arial" w:cs="Arial"/>
        </w:rPr>
      </w:pPr>
      <w:r>
        <w:rPr>
          <w:rFonts w:cs="Arial" w:ascii="Arial" w:hAnsi="Arial"/>
        </w:rPr>
        <w:t>The Adopted Mechanism</w:t>
      </w:r>
    </w:p>
    <w:p>
      <w:pPr>
        <w:pStyle w:val="Normal"/>
        <w:rPr>
          <w:rFonts w:ascii="Arial" w:hAnsi="Arial" w:cs="Arial"/>
          <w:sz w:val="20"/>
        </w:rPr>
      </w:pPr>
      <w:r>
        <w:rPr>
          <w:rFonts w:cs="Arial" w:ascii="Arial" w:hAnsi="Arial"/>
          <w:sz w:val="20"/>
        </w:rPr>
      </w:r>
    </w:p>
    <w:p>
      <w:pPr>
        <w:pStyle w:val="Heading5"/>
        <w:ind w:hanging="0" w:end="0"/>
        <w:rPr>
          <w:rFonts w:ascii="Arial" w:hAnsi="Arial" w:cs="Arial"/>
          <w:b w:val="false"/>
          <w:bCs w:val="false"/>
          <w:sz w:val="20"/>
        </w:rPr>
      </w:pPr>
      <w:r>
        <w:rPr>
          <w:rFonts w:cs="Arial" w:ascii="Arial" w:hAnsi="Arial"/>
          <w:b w:val="false"/>
          <w:bCs w:val="false"/>
          <w:sz w:val="20"/>
        </w:rPr>
        <w:t>The FERC’s westwide price mitigation mechanism has two dimensions: a requirement to offer power in spot markets not already committed to sale (the must-offer condition) and a requirement to sell at or below a cost-based or “mitigated” price (the price mitigation or cap condition).</w:t>
      </w:r>
    </w:p>
    <w:p>
      <w:pPr>
        <w:pStyle w:val="Normal"/>
        <w:ind w:firstLine="720" w:end="0"/>
        <w:rPr>
          <w:rFonts w:ascii="Arial" w:hAnsi="Arial" w:cs="Arial"/>
          <w:b/>
          <w:bCs/>
          <w:i/>
          <w:i/>
          <w:iCs/>
          <w:sz w:val="20"/>
        </w:rPr>
      </w:pPr>
      <w:r>
        <w:rPr>
          <w:rFonts w:cs="Arial" w:ascii="Arial" w:hAnsi="Arial"/>
          <w:b/>
          <w:bCs/>
          <w:i/>
          <w:iCs/>
          <w:sz w:val="20"/>
        </w:rPr>
      </w:r>
    </w:p>
    <w:p>
      <w:pPr>
        <w:pStyle w:val="Normal"/>
        <w:rPr/>
      </w:pPr>
      <w:r>
        <w:rPr>
          <w:rFonts w:cs="Arial" w:ascii="Arial" w:hAnsi="Arial"/>
          <w:i/>
          <w:iCs/>
          <w:sz w:val="20"/>
        </w:rPr>
        <w:t>The Must-Offer Condition</w:t>
      </w:r>
      <w:r>
        <w:rPr>
          <w:rFonts w:cs="Arial" w:ascii="Arial" w:hAnsi="Arial"/>
          <w:sz w:val="20"/>
        </w:rPr>
        <w:t>.  All public and non-public utilities that own or control generation in the WSCC must make that power available in a “spot” market</w:t>
      </w:r>
      <w:r>
        <w:rPr>
          <w:rStyle w:val="FootnoteCharacters"/>
          <w:rStyle w:val="FootnoteReference"/>
          <w:rFonts w:cs="Arial" w:ascii="Arial" w:hAnsi="Arial"/>
          <w:sz w:val="20"/>
        </w:rPr>
        <w:footnoteReference w:id="4"/>
      </w:r>
      <w:r>
        <w:rPr>
          <w:rFonts w:cs="Arial" w:ascii="Arial" w:hAnsi="Arial"/>
          <w:sz w:val="20"/>
        </w:rPr>
        <w:t xml:space="preserve"> unless it has already sold that power forward or has made the power part of the reserve requirement of a load serving utility   The only resources exempted from this must-offer requirement are hydroelectric resources.</w:t>
      </w:r>
    </w:p>
    <w:p>
      <w:pPr>
        <w:pStyle w:val="BodyTextIndent2"/>
        <w:rPr>
          <w:rFonts w:ascii="Arial" w:hAnsi="Arial" w:cs="Arial"/>
          <w:sz w:val="20"/>
        </w:rPr>
      </w:pPr>
      <w:r>
        <w:rPr>
          <w:rFonts w:cs="Arial"/>
          <w:sz w:val="20"/>
        </w:rPr>
      </w:r>
    </w:p>
    <w:p>
      <w:pPr>
        <w:pStyle w:val="BodyTextIndent2"/>
        <w:ind w:hanging="0" w:start="0" w:end="0"/>
        <w:rPr>
          <w:rFonts w:cs="Arial"/>
          <w:b w:val="false"/>
          <w:bCs w:val="false"/>
          <w:i w:val="false"/>
          <w:i w:val="false"/>
          <w:iCs w:val="false"/>
          <w:sz w:val="20"/>
        </w:rPr>
      </w:pPr>
      <w:r>
        <w:rPr>
          <w:rFonts w:cs="Arial"/>
          <w:b w:val="false"/>
          <w:bCs w:val="false"/>
          <w:i w:val="false"/>
          <w:iCs w:val="false"/>
          <w:sz w:val="20"/>
        </w:rPr>
        <w:t>In California, the power must be made available to the California Independent System Operator’s (CAISO’s) supplemental energy market.  Outside of California, the power must be made available in the spot market of the supplier’s choosing and notice of the power’s availability must be posted on the Internet.</w:t>
      </w:r>
    </w:p>
    <w:p>
      <w:pPr>
        <w:pStyle w:val="BodyTextIndent2"/>
        <w:ind w:hanging="0" w:start="0" w:end="0"/>
        <w:rPr>
          <w:rFonts w:cs="Arial"/>
          <w:b w:val="false"/>
          <w:bCs w:val="false"/>
          <w:i w:val="false"/>
          <w:i w:val="false"/>
          <w:iCs w:val="false"/>
          <w:sz w:val="20"/>
        </w:rPr>
      </w:pPr>
      <w:r>
        <w:rPr>
          <w:rFonts w:cs="Arial"/>
          <w:b w:val="false"/>
          <w:bCs w:val="false"/>
          <w:i w:val="false"/>
          <w:iCs w:val="false"/>
          <w:sz w:val="20"/>
        </w:rPr>
      </w:r>
    </w:p>
    <w:p>
      <w:pPr>
        <w:pStyle w:val="BodyTextIndent2"/>
        <w:ind w:hanging="0" w:start="0" w:end="0"/>
        <w:rPr>
          <w:rFonts w:cs="Arial"/>
          <w:b w:val="false"/>
          <w:bCs w:val="false"/>
          <w:i w:val="false"/>
          <w:i w:val="false"/>
          <w:iCs w:val="false"/>
          <w:sz w:val="20"/>
        </w:rPr>
      </w:pPr>
      <w:r>
        <w:rPr>
          <w:rFonts w:cs="Arial"/>
          <w:b w:val="false"/>
          <w:bCs w:val="false"/>
          <w:i w:val="false"/>
          <w:iCs w:val="false"/>
          <w:sz w:val="20"/>
        </w:rPr>
        <w:t>In a controversial move, the FERC applied its rule to all generation, including generation controlled by “non-public” utilities such as munies and federal power marketing agencies.  Since non-public utilities are not normally regulated by the FERC, the non-public utilities are disputing the legality of this aspect of the rule.</w:t>
      </w:r>
    </w:p>
    <w:p>
      <w:pPr>
        <w:pStyle w:val="BodyTextIndent2"/>
        <w:ind w:hanging="0" w:start="0" w:end="0"/>
        <w:rPr>
          <w:rFonts w:cs="Arial"/>
          <w:b w:val="false"/>
          <w:bCs w:val="false"/>
          <w:i w:val="false"/>
          <w:i w:val="false"/>
          <w:iCs w:val="false"/>
          <w:sz w:val="20"/>
        </w:rPr>
      </w:pPr>
      <w:r>
        <w:rPr>
          <w:rFonts w:cs="Arial"/>
          <w:b w:val="false"/>
          <w:bCs w:val="false"/>
          <w:i w:val="false"/>
          <w:iCs w:val="false"/>
          <w:sz w:val="20"/>
        </w:rPr>
      </w:r>
    </w:p>
    <w:p>
      <w:pPr>
        <w:pStyle w:val="Normal"/>
        <w:rPr/>
      </w:pPr>
      <w:r>
        <w:rPr>
          <w:rFonts w:cs="Arial" w:ascii="Arial" w:hAnsi="Arial"/>
          <w:i/>
          <w:iCs/>
          <w:sz w:val="20"/>
        </w:rPr>
        <w:t xml:space="preserve">The Mitigated Price. </w:t>
      </w:r>
      <w:r>
        <w:rPr>
          <w:rFonts w:cs="Arial" w:ascii="Arial" w:hAnsi="Arial"/>
          <w:sz w:val="20"/>
        </w:rPr>
        <w:t>In every hour there is a mitigated price above which spot prices cannot exceed except under certain conditions.  During hours when the California ISO declares itself to be in a reserve deficiency,</w:t>
      </w:r>
      <w:r>
        <w:rPr>
          <w:rStyle w:val="FootnoteCharacters"/>
          <w:rStyle w:val="FootnoteReference"/>
          <w:rFonts w:cs="Arial" w:ascii="Arial" w:hAnsi="Arial"/>
          <w:sz w:val="20"/>
        </w:rPr>
        <w:footnoteReference w:id="5"/>
      </w:r>
      <w:r>
        <w:rPr>
          <w:rFonts w:cs="Arial" w:ascii="Arial" w:hAnsi="Arial"/>
          <w:sz w:val="20"/>
        </w:rPr>
        <w:t xml:space="preserve"> the price is capped at the marginal heat rate of the last thermal unit dispatched by the CAISO multiplied the California border natural gas price plus a $6/MWh O&amp;M charge.   There are a few exceptions to this cap.  Sellers to the CAISO receive a 10% surcharge to reflect credit uncertainty in that market.  Also sellers to CAISO have the opportunity to recover certain emission and start-up fuel costs via direct billing to the CAISO.  Finally, any generator with variable operating costs above the cap can sell above the cap provided timely cost justification is filed at the FERC.</w:t>
      </w:r>
    </w:p>
    <w:p>
      <w:pPr>
        <w:pStyle w:val="Normal"/>
        <w:ind w:firstLine="720" w:end="0"/>
        <w:rPr>
          <w:rFonts w:ascii="Arial" w:hAnsi="Arial" w:cs="Arial"/>
          <w:sz w:val="20"/>
        </w:rPr>
      </w:pPr>
      <w:r>
        <w:rPr>
          <w:rFonts w:cs="Arial" w:ascii="Arial" w:hAnsi="Arial"/>
          <w:sz w:val="20"/>
        </w:rPr>
      </w:r>
    </w:p>
    <w:p>
      <w:pPr>
        <w:pStyle w:val="Normal"/>
        <w:rPr/>
      </w:pPr>
      <w:r>
        <w:rPr>
          <w:rFonts w:cs="Arial" w:ascii="Arial" w:hAnsi="Arial"/>
          <w:sz w:val="20"/>
        </w:rPr>
        <w:t>During all other nonemergency hours, spot market prices in the WSCC are capped, absent seller cost justification, at 85% of the highest ISO hourly MCP in last previous “Stage 1” emergency that lasted for at least one full clock hour.</w:t>
      </w:r>
      <w:r>
        <w:rPr>
          <w:rStyle w:val="FootnoteCharacters"/>
          <w:rStyle w:val="FootnoteReference"/>
          <w:rFonts w:cs="Arial" w:ascii="Arial" w:hAnsi="Arial"/>
          <w:sz w:val="20"/>
        </w:rPr>
        <w:footnoteReference w:id="6"/>
      </w:r>
      <w:r>
        <w:rPr>
          <w:rFonts w:cs="Arial" w:ascii="Arial" w:hAnsi="Arial"/>
          <w:sz w:val="20"/>
        </w:rPr>
        <w:t xml:space="preserve">  Other than the fact that MCP is unchanged between Stage 1’s, the price mitigation requirements outlined above are the same.  CAISO has not been in reserve deficiency for a large majority of hours since the FERC’s order went into effect.  Therefore, the cap has stayed at a constant level ($91.87/MWh) reflecting a Stage 1 event that occurred in late May 2001. Ironically, if CAISO were to call an emergency now due to a reserve deficiency, the mitigated price would fall because gas prices have fallen considerably since May.</w:t>
      </w:r>
    </w:p>
    <w:p>
      <w:pPr>
        <w:pStyle w:val="Normal"/>
        <w:rPr>
          <w:rFonts w:ascii="Arial" w:hAnsi="Arial" w:cs="Arial"/>
          <w:sz w:val="20"/>
        </w:rPr>
      </w:pPr>
      <w:r>
        <w:rPr>
          <w:rFonts w:cs="Arial" w:ascii="Arial" w:hAnsi="Arial"/>
          <w:sz w:val="20"/>
        </w:rPr>
      </w:r>
    </w:p>
    <w:p>
      <w:pPr>
        <w:pStyle w:val="Normal"/>
        <w:ind w:firstLine="720" w:end="0"/>
        <w:rPr>
          <w:rFonts w:ascii="Arial" w:hAnsi="Arial" w:cs="Arial"/>
          <w:sz w:val="20"/>
        </w:rPr>
      </w:pPr>
      <w:r>
        <w:rPr>
          <w:rFonts w:cs="Arial" w:ascii="Arial" w:hAnsi="Arial"/>
          <w:sz w:val="20"/>
        </w:rPr>
      </w:r>
    </w:p>
    <w:p>
      <w:pPr>
        <w:pStyle w:val="Heading5"/>
        <w:ind w:hanging="0" w:end="0"/>
        <w:rPr>
          <w:rFonts w:ascii="Arial" w:hAnsi="Arial" w:cs="Arial"/>
        </w:rPr>
      </w:pPr>
      <w:r>
        <w:rPr>
          <w:rFonts w:cs="Arial" w:ascii="Arial" w:hAnsi="Arial"/>
        </w:rPr>
        <w:t>Implications for Western Wholesale Power Markets</w:t>
      </w:r>
    </w:p>
    <w:p>
      <w:pPr>
        <w:pStyle w:val="Normal"/>
        <w:ind w:firstLine="720" w:end="0"/>
        <w:rPr>
          <w:rFonts w:ascii="Arial" w:hAnsi="Arial" w:cs="Arial"/>
          <w:sz w:val="20"/>
        </w:rPr>
      </w:pPr>
      <w:r>
        <w:rPr>
          <w:rFonts w:cs="Arial" w:ascii="Arial" w:hAnsi="Arial"/>
          <w:sz w:val="20"/>
        </w:rPr>
      </w:r>
    </w:p>
    <w:p>
      <w:pPr>
        <w:pStyle w:val="Normal"/>
        <w:autoSpaceDE w:val="false"/>
        <w:spacing w:lineRule="atLeast" w:line="240"/>
        <w:rPr/>
      </w:pPr>
      <w:r>
        <w:rPr>
          <w:rFonts w:cs="Arial" w:ascii="Arial" w:hAnsi="Arial"/>
          <w:color w:val="000000"/>
          <w:sz w:val="20"/>
        </w:rPr>
        <w:t xml:space="preserve">The FERC’s order affects the entire market for bulk power in the west, including bilateral spot trades.  Because electricity markets are complicated and the price controls pervasive, the consequences of the FERC's rule cannot be fully predicted.  However, certain consequences </w:t>
      </w:r>
      <w:r>
        <w:rPr>
          <w:rFonts w:cs="Arial" w:ascii="Arial" w:hAnsi="Arial"/>
          <w:i/>
          <w:iCs/>
          <w:color w:val="000000"/>
          <w:sz w:val="20"/>
        </w:rPr>
        <w:t>are</w:t>
      </w:r>
      <w:r>
        <w:rPr>
          <w:rFonts w:cs="Arial" w:ascii="Arial" w:hAnsi="Arial"/>
          <w:color w:val="000000"/>
          <w:sz w:val="20"/>
        </w:rPr>
        <w:t xml:space="preserve"> predictable and have already been borne out by the limited experience since June 20</w:t>
      </w:r>
      <w:r>
        <w:rPr>
          <w:rFonts w:cs="Arial" w:ascii="Arial" w:hAnsi="Arial"/>
          <w:color w:val="000000"/>
          <w:sz w:val="20"/>
          <w:vertAlign w:val="superscript"/>
        </w:rPr>
        <w:t>th</w:t>
      </w:r>
      <w:r>
        <w:rPr>
          <w:rFonts w:cs="Arial" w:ascii="Arial" w:hAnsi="Arial"/>
          <w:color w:val="000000"/>
          <w:sz w:val="20"/>
        </w:rPr>
        <w:t>.</w:t>
      </w:r>
    </w:p>
    <w:p>
      <w:pPr>
        <w:pStyle w:val="Normal"/>
        <w:autoSpaceDE w:val="false"/>
        <w:spacing w:lineRule="atLeast" w:line="240"/>
        <w:rPr>
          <w:rFonts w:ascii="Arial" w:hAnsi="Arial" w:cs="Arial"/>
          <w:color w:val="000000"/>
          <w:sz w:val="20"/>
        </w:rPr>
      </w:pPr>
      <w:r>
        <w:rPr>
          <w:rFonts w:cs="Arial" w:ascii="Arial" w:hAnsi="Arial"/>
          <w:color w:val="000000"/>
          <w:sz w:val="20"/>
        </w:rPr>
      </w:r>
    </w:p>
    <w:p>
      <w:pPr>
        <w:pStyle w:val="Normal"/>
        <w:autoSpaceDE w:val="false"/>
        <w:spacing w:lineRule="atLeast" w:line="240"/>
        <w:rPr/>
      </w:pPr>
      <w:r>
        <w:drawing>
          <wp:anchor behindDoc="0" distT="0" distB="0" distL="114935" distR="114935" simplePos="0" locked="0" layoutInCell="0" allowOverlap="1" relativeHeight="2">
            <wp:simplePos x="0" y="0"/>
            <wp:positionH relativeFrom="column">
              <wp:posOffset>-114300</wp:posOffset>
            </wp:positionH>
            <wp:positionV relativeFrom="paragraph">
              <wp:posOffset>1183640</wp:posOffset>
            </wp:positionV>
            <wp:extent cx="5482590" cy="374904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6" r="-4" b="-6"/>
                    <a:stretch>
                      <a:fillRect/>
                    </a:stretch>
                  </pic:blipFill>
                  <pic:spPr bwMode="auto">
                    <a:xfrm>
                      <a:off x="0" y="0"/>
                      <a:ext cx="5482590" cy="3749040"/>
                    </a:xfrm>
                    <a:prstGeom prst="rect">
                      <a:avLst/>
                    </a:prstGeom>
                    <a:noFill/>
                  </pic:spPr>
                </pic:pic>
              </a:graphicData>
            </a:graphic>
          </wp:anchor>
        </w:drawing>
      </w:r>
      <w:r>
        <w:rPr>
          <w:rFonts w:cs="Arial" w:ascii="Arial" w:hAnsi="Arial"/>
          <w:color w:val="000000"/>
          <w:sz w:val="20"/>
        </w:rPr>
        <w:t>First it is important to emphasize that the price controls did not succeed in lowering prices appreciably, even in the short-run. The FERC’s westwide mitigation took effect on June 20</w:t>
      </w:r>
      <w:r>
        <w:rPr>
          <w:rFonts w:cs="Arial" w:ascii="Arial" w:hAnsi="Arial"/>
          <w:color w:val="000000"/>
          <w:sz w:val="20"/>
          <w:vertAlign w:val="superscript"/>
        </w:rPr>
        <w:t>th</w:t>
      </w:r>
      <w:r>
        <w:rPr>
          <w:rFonts w:cs="Arial" w:ascii="Arial" w:hAnsi="Arial"/>
          <w:color w:val="000000"/>
          <w:sz w:val="20"/>
        </w:rPr>
        <w:t>.  Earlier, in late May, spot price dropped significantly due to a variety of factors including lower-than-expected demand and increased supply (chart).  Lower demand was due to cooler-than-normal temperatures and decreased demand due to a long-overdue retail rate increase in California.  Demand had been mitigated in other parts of the west for several months due to rate increases by Pacific Northwest utilities and industrial demand response programs.  Supply had increased due to the start of commercial operation of several supply projects that had been started months or years earlier.</w:t>
      </w:r>
    </w:p>
    <w:p>
      <w:pPr>
        <w:pStyle w:val="Normal"/>
        <w:autoSpaceDE w:val="false"/>
        <w:spacing w:lineRule="atLeast" w:line="240"/>
        <w:rPr>
          <w:rFonts w:ascii="Arial" w:hAnsi="Arial" w:cs="Arial"/>
          <w:color w:val="000000"/>
          <w:sz w:val="20"/>
        </w:rPr>
      </w:pPr>
      <w:r>
        <w:rPr>
          <w:rFonts w:cs="Arial" w:ascii="Arial" w:hAnsi="Arial"/>
          <w:color w:val="000000"/>
          <w:sz w:val="20"/>
        </w:rPr>
      </w:r>
    </w:p>
    <w:p>
      <w:pPr>
        <w:pStyle w:val="Normal"/>
        <w:autoSpaceDE w:val="false"/>
        <w:spacing w:lineRule="atLeast" w:line="240"/>
        <w:rPr/>
      </w:pPr>
      <w:r>
        <w:rPr>
          <w:rFonts w:cs="Arial" w:ascii="Arial" w:hAnsi="Arial"/>
          <w:color w:val="000000"/>
          <w:sz w:val="20"/>
        </w:rPr>
        <w:t>Proponents of price caps argued that the cap itself was responsible for the decrease in prices.  This is an implausible claim for several reasons.  First, as noted above, the decreases in demand and increases in supply were not in any way caused by the price controls.  Second, if the cap was to have any effect, one would expect market prices to be persistently at the cap; i.e., but for the cap, the natural market price would be higher.  However, except for certain days between June 20</w:t>
      </w:r>
      <w:r>
        <w:rPr>
          <w:rFonts w:cs="Arial" w:ascii="Arial" w:hAnsi="Arial"/>
          <w:color w:val="000000"/>
          <w:sz w:val="20"/>
          <w:vertAlign w:val="superscript"/>
        </w:rPr>
        <w:t>th</w:t>
      </w:r>
      <w:r>
        <w:rPr>
          <w:rFonts w:cs="Arial" w:ascii="Arial" w:hAnsi="Arial"/>
          <w:color w:val="000000"/>
          <w:sz w:val="20"/>
        </w:rPr>
        <w:t xml:space="preserve"> and July 5, market prices have been well below the cap.  Market prices are largely at the level they are due to market forces—not regulation.</w:t>
      </w:r>
    </w:p>
    <w:p>
      <w:pPr>
        <w:pStyle w:val="Normal"/>
        <w:autoSpaceDE w:val="false"/>
        <w:spacing w:lineRule="atLeast" w:line="240"/>
        <w:rPr>
          <w:rFonts w:ascii="Arial" w:hAnsi="Arial" w:cs="Arial"/>
          <w:color w:val="000000"/>
          <w:sz w:val="20"/>
        </w:rPr>
      </w:pPr>
      <w:r>
        <w:rPr>
          <w:rFonts w:cs="Arial" w:ascii="Arial" w:hAnsi="Arial"/>
          <w:color w:val="000000"/>
          <w:sz w:val="20"/>
        </w:rPr>
      </w:r>
    </w:p>
    <w:p>
      <w:pPr>
        <w:pStyle w:val="BodyText2"/>
        <w:rPr/>
      </w:pPr>
      <w:r>
        <w:rPr/>
        <w:t>The real effect of wholesale price controls is twofold: demand is higher than it would be otherwise and supply is retarded.  Reliability in both the short- and long-run is negatively impacted.</w:t>
      </w:r>
    </w:p>
    <w:p>
      <w:pPr>
        <w:pStyle w:val="Normal"/>
        <w:autoSpaceDE w:val="false"/>
        <w:spacing w:lineRule="atLeast" w:line="240"/>
        <w:ind w:firstLine="720" w:end="0"/>
        <w:rPr>
          <w:rFonts w:ascii="Arial" w:hAnsi="Arial" w:cs="Arial"/>
          <w:color w:val="000000"/>
          <w:sz w:val="20"/>
        </w:rPr>
      </w:pPr>
      <w:r>
        <w:rPr>
          <w:rFonts w:cs="Arial" w:ascii="Arial" w:hAnsi="Arial"/>
          <w:color w:val="000000"/>
          <w:sz w:val="20"/>
        </w:rPr>
      </w:r>
    </w:p>
    <w:p>
      <w:pPr>
        <w:pStyle w:val="BodyText2"/>
        <w:rPr/>
      </w:pPr>
      <w:r>
        <w:rPr/>
        <w:t>Reliability in the short run is impacted for several reasons.  When the supply-demand balance is tight, prices provide a signal to consumers to reduce demand and bring higher-cost resources to market.  However, under the FERC’s program, prices are largely capped at the mitigation price; thus, demand will be higher than would otherwise be the case.  Customers in addition to demanding more also have an incentive to wait until the last minute to buy power because the spot price is capped.  This incentive to move load into real-time is also destabilizing.  The FERC’s rules do allow generators to sell at prices above the cap if they can justify costs in a regulatory filing.  However, marketers cannot under any circumstances justify costs above the cap.  This reduces liquidity and makes it difficult for demand to find supply.  The logical consequence—blackouts—in fact occurred in northern Nevada on July 2, 2001.  Adequate supply was available but could not move to the Nevada control area because marketers who would effectuate the transaction could not remarket the power without losing money.  Power was available in the Northwest where it was not needed and was unavailable in Nevada, where it was needed.</w:t>
      </w:r>
    </w:p>
    <w:p>
      <w:pPr>
        <w:pStyle w:val="Normal"/>
        <w:autoSpaceDE w:val="false"/>
        <w:spacing w:lineRule="atLeast" w:line="240"/>
        <w:ind w:firstLine="720" w:end="0"/>
        <w:rPr>
          <w:rFonts w:ascii="Arial" w:hAnsi="Arial" w:cs="Arial"/>
          <w:color w:val="000000"/>
          <w:sz w:val="20"/>
        </w:rPr>
      </w:pPr>
      <w:r>
        <w:rPr>
          <w:rFonts w:cs="Arial" w:ascii="Arial" w:hAnsi="Arial"/>
          <w:color w:val="000000"/>
          <w:sz w:val="20"/>
        </w:rPr>
      </w:r>
    </w:p>
    <w:p>
      <w:pPr>
        <w:pStyle w:val="BodyText2"/>
        <w:rPr/>
      </w:pPr>
      <w:r>
        <w:rPr/>
        <w:t>The must-offer condition of the FERC’s rules is sowing the seeds of future long-run shortages, especially for intermediate and peaking resources.  The FERC rules require all owners of resources not committed in term or day-ahead markets to make their power available at the variable cost of production   Peaking resources are constructed, in part, to sell power in spot or real-time markets—they cannot depend on term- or day-ahead markets to cover their costs.  Requiring suppliers to sell power at variable costs is confiscatory.  The result has been a cancellation of non-baseload resources throughout the west.</w:t>
      </w:r>
    </w:p>
    <w:p>
      <w:pPr>
        <w:pStyle w:val="Normal"/>
        <w:autoSpaceDE w:val="false"/>
        <w:spacing w:lineRule="atLeast" w:line="240"/>
        <w:ind w:firstLine="720" w:end="0"/>
        <w:rPr>
          <w:rFonts w:ascii="Arial" w:hAnsi="Arial" w:cs="Arial"/>
          <w:color w:val="000000"/>
          <w:sz w:val="20"/>
        </w:rPr>
      </w:pPr>
      <w:r>
        <w:rPr>
          <w:rFonts w:cs="Arial" w:ascii="Arial" w:hAnsi="Arial"/>
          <w:color w:val="000000"/>
          <w:sz w:val="20"/>
        </w:rPr>
      </w:r>
    </w:p>
    <w:p>
      <w:pPr>
        <w:pStyle w:val="BodyText2"/>
        <w:rPr/>
      </w:pPr>
      <w:r>
        <w:rPr/>
        <w:t xml:space="preserve">Finally, it must be noted that the current price control is overly dependent on conditions determined by marginal resources in California and triggered by emergencies called by the CAISO, a body that is controlled by the Governor of California.  The cap this winter, for example, may end up being set by marginal heat rates and gas prices that existed in California months earlier.  This disconnect between the cap and marginal costs will add another layer of instability in the western markets. </w:t>
      </w:r>
    </w:p>
    <w:p>
      <w:pPr>
        <w:sectPr>
          <w:footerReference w:type="default" r:id="rId3"/>
          <w:footnotePr>
            <w:numFmt w:val="decimal"/>
          </w:footnotePr>
          <w:type w:val="nextPage"/>
          <w:pgSz w:w="12240" w:h="15840"/>
          <w:pgMar w:left="1008" w:right="1008" w:gutter="0" w:header="0" w:top="720" w:footer="720" w:bottom="776"/>
          <w:pgNumType w:fmt="decimal"/>
          <w:formProt w:val="false"/>
          <w:textDirection w:val="lrTb"/>
          <w:docGrid w:type="default" w:linePitch="360" w:charSpace="0"/>
        </w:sectPr>
        <w:pStyle w:val="FootnoteText"/>
        <w:rPr>
          <w:rFonts w:ascii="Arial" w:hAnsi="Arial" w:cs="Arial"/>
          <w:szCs w:val="24"/>
          <w:lang w:val="en-US"/>
        </w:rPr>
      </w:pPr>
      <w:r>
        <w:rPr>
          <w:rFonts w:cs="Arial" w:ascii="Arial" w:hAnsi="Arial"/>
          <w:szCs w:val="24"/>
          <w:lang w:val="en-US"/>
        </w:rPr>
      </w:r>
    </w:p>
    <w:p>
      <w:pPr>
        <w:pStyle w:val="FootnoteText"/>
        <w:jc w:val="center"/>
        <w:rPr>
          <w:rFonts w:ascii="Arial" w:hAnsi="Arial" w:cs="Arial"/>
          <w:b/>
          <w:bCs/>
          <w:sz w:val="24"/>
          <w:szCs w:val="24"/>
          <w:lang w:val="en-US"/>
        </w:rPr>
      </w:pPr>
      <w:r>
        <w:rPr>
          <w:rFonts w:cs="Arial" w:ascii="Arial" w:hAnsi="Arial"/>
          <w:b/>
          <w:bCs/>
          <w:sz w:val="24"/>
          <w:szCs w:val="24"/>
          <w:lang w:val="en-US"/>
        </w:rPr>
        <w:t>SUMMARY OF FERC’S FAILURE TO GO AFTER CALIFORNIA FOR FAILURE TO COMPLY WITH FERC</w:t>
      </w:r>
    </w:p>
    <w:p>
      <w:pPr>
        <w:pStyle w:val="FootnoteText"/>
        <w:rPr>
          <w:rFonts w:ascii="Arial" w:hAnsi="Arial" w:cs="Arial"/>
          <w:b/>
          <w:bCs/>
          <w:sz w:val="24"/>
          <w:szCs w:val="24"/>
          <w:lang w:val="en-US"/>
        </w:rPr>
      </w:pPr>
      <w:r>
        <w:rPr>
          <w:rFonts w:cs="Arial" w:ascii="Arial" w:hAnsi="Arial"/>
          <w:b/>
          <w:bCs/>
          <w:sz w:val="24"/>
          <w:szCs w:val="24"/>
          <w:lang w:val="en-US"/>
        </w:rPr>
      </w:r>
    </w:p>
    <w:p>
      <w:pPr>
        <w:pStyle w:val="Normal"/>
        <w:rPr>
          <w:rFonts w:ascii="Arial" w:hAnsi="Arial" w:cs="Arial"/>
          <w:color w:val="0000FF"/>
          <w:sz w:val="20"/>
          <w:szCs w:val="20"/>
          <w:lang w:val="en-US"/>
        </w:rPr>
      </w:pPr>
      <w:r>
        <w:rPr>
          <w:rFonts w:cs="Arial" w:ascii="Arial" w:hAnsi="Arial"/>
          <w:color w:val="0000FF"/>
          <w:sz w:val="20"/>
          <w:szCs w:val="20"/>
          <w:lang w:val="en-US"/>
        </w:rPr>
      </w:r>
    </w:p>
    <w:p>
      <w:pPr>
        <w:pStyle w:val="Normal"/>
        <w:rPr>
          <w:rFonts w:ascii="Arial Unicode MS" w:hAnsi="Arial Unicode MS" w:eastAsia="Arial Unicode MS" w:cs="Arial Unicode MS"/>
          <w:color w:val="000000"/>
        </w:rPr>
      </w:pPr>
      <w:r>
        <w:rPr>
          <w:rFonts w:cs="Arial" w:ascii="Arial" w:hAnsi="Arial"/>
          <w:color w:val="000000"/>
          <w:sz w:val="20"/>
          <w:szCs w:val="20"/>
        </w:rPr>
        <w:t xml:space="preserve">FERC has failed on a number of fronts going back to 1998.  In a general sense, FERC has failed to issue decisions in litigated cases and to act on requests for rehearing that raise issues about how the ISO is doing business -- in particular, its lack of independence.  The two most crucial areas of concern are governance and creditworthiness. </w:t>
      </w:r>
    </w:p>
    <w:p>
      <w:pPr>
        <w:pStyle w:val="Normal"/>
        <w:rPr>
          <w:color w:val="000000"/>
        </w:rPr>
      </w:pPr>
      <w:r>
        <w:rPr>
          <w:color w:val="000000"/>
        </w:rPr>
        <w:t> </w:t>
      </w:r>
    </w:p>
    <w:p>
      <w:pPr>
        <w:pStyle w:val="Heading3"/>
        <w:ind w:hanging="0" w:start="0"/>
        <w:rPr>
          <w:sz w:val="24"/>
        </w:rPr>
      </w:pPr>
      <w:r>
        <w:rPr>
          <w:sz w:val="24"/>
        </w:rPr>
        <w:t>Governance</w:t>
      </w:r>
    </w:p>
    <w:p>
      <w:pPr>
        <w:pStyle w:val="Normal"/>
        <w:rPr>
          <w:sz w:val="24"/>
        </w:rPr>
      </w:pPr>
      <w:r>
        <w:rPr>
          <w:sz w:val="24"/>
        </w:rPr>
      </w:r>
    </w:p>
    <w:p>
      <w:pPr>
        <w:pStyle w:val="Normal"/>
        <w:rPr>
          <w:color w:val="000000"/>
        </w:rPr>
      </w:pPr>
      <w:r>
        <w:rPr>
          <w:rFonts w:cs="Arial" w:ascii="Arial" w:hAnsi="Arial"/>
          <w:color w:val="000000"/>
          <w:sz w:val="20"/>
          <w:szCs w:val="20"/>
        </w:rPr>
        <w:t xml:space="preserve">Beginning with orders in November 1996, FERC required that the ISO distance itself from state influence.  The ISO and the State of California never complied and in fact have continually increased their intertwined nature up to the present where we have an ISO as essentially a captured state agency.  Although many filings, motions and orders have been made and voted on, two are seminal.  </w:t>
      </w:r>
    </w:p>
    <w:p>
      <w:pPr>
        <w:pStyle w:val="Normal"/>
        <w:rPr>
          <w:color w:val="000000"/>
        </w:rPr>
      </w:pPr>
      <w:r>
        <w:rPr>
          <w:color w:val="000000"/>
        </w:rPr>
        <w:t> </w:t>
      </w:r>
    </w:p>
    <w:p>
      <w:pPr>
        <w:pStyle w:val="Normal"/>
        <w:rPr>
          <w:color w:val="000000"/>
        </w:rPr>
      </w:pPr>
      <w:r>
        <w:rPr>
          <w:rFonts w:cs="Arial" w:ascii="Arial" w:hAnsi="Arial"/>
          <w:color w:val="000000"/>
          <w:sz w:val="20"/>
          <w:szCs w:val="20"/>
        </w:rPr>
        <w:t xml:space="preserve">First, in 1998, the FERC finally ordered the ISO to change its Bylaws to remove any influence over the ISO Board and its decisions held by the State of California's Electricity Oversight Board (EOB). The EOB filed an appeal of the decision in federal court.  FERC and the EOB agreed in non-public negotiations to a "role" for the EOB in ISO matters and governance.  The state of California passed legislation implementing the deal and FERC then issued an order accepting it in August 1999.  One of Enron's coalitions, Western Power Trading Forum (WPTF), filed an appeal.  </w:t>
      </w:r>
    </w:p>
    <w:p>
      <w:pPr>
        <w:pStyle w:val="Normal"/>
        <w:rPr>
          <w:color w:val="000000"/>
        </w:rPr>
      </w:pPr>
      <w:r>
        <w:rPr>
          <w:color w:val="000000"/>
        </w:rPr>
        <w:t> </w:t>
      </w:r>
    </w:p>
    <w:p>
      <w:pPr>
        <w:pStyle w:val="Normal"/>
        <w:rPr>
          <w:color w:val="000000"/>
        </w:rPr>
      </w:pPr>
      <w:r>
        <w:rPr>
          <w:rFonts w:cs="Arial" w:ascii="Arial" w:hAnsi="Arial"/>
          <w:color w:val="000000"/>
          <w:sz w:val="20"/>
          <w:szCs w:val="20"/>
        </w:rPr>
        <w:t>Beginning in 2000, the state expanded its intervention with the ISO Board -- especially with respect to Board seats and wholesale price caps.  FERC then issued its second seminal order in December 2000 requiring the existing ISO Board to disband and be replaced by an independent Board.  FERC also offered to negotiate with the state of California to protect any state interests.  It required a new independent Board to be in place in accordance with the order if the state and the FERC could reach no agreement by April 27,2002. No negotiations were held.  Governor Davis responded by setting an Emergency Session of the Legislature for early January.  The first bill passed in the Emergency Session allowed the state to take over the ISO Board and replace it with five Gubernatorial appointees. The Attorney General sent a notice to all ISO Board members stating that they were to resign immediately and that he had already filed a lawsuit against them in state court. The Board resigned in mid January and Governor Davis appointed his five member Board.  Although the December 2000 decision had clear language in it about how the independent Board was to be appointed and the date the new Board was to be in place, the FERC has done nothing to overturn the State's takeover or enforce its orders.  California is currently purchasing 40% of the load and the State, through the ISO, is controlling the market and the price for the power.  The appeal by WPTF was dismissed by the court because it found that the FERC’s December 2000 order had "addressed" all governance issues.</w:t>
      </w:r>
    </w:p>
    <w:p>
      <w:pPr>
        <w:pStyle w:val="Normal"/>
        <w:rPr>
          <w:color w:val="000000"/>
        </w:rPr>
      </w:pPr>
      <w:r>
        <w:rPr>
          <w:color w:val="000000"/>
        </w:rPr>
        <w:t> </w:t>
      </w:r>
    </w:p>
    <w:p>
      <w:pPr>
        <w:pStyle w:val="Heading6"/>
        <w:ind w:hanging="0" w:start="0"/>
        <w:rPr/>
      </w:pPr>
      <w:r>
        <w:rPr>
          <w:rStyle w:val="Strong"/>
        </w:rPr>
        <w:t>Creditworthiness</w:t>
      </w:r>
    </w:p>
    <w:p>
      <w:pPr>
        <w:pStyle w:val="Normal"/>
        <w:rPr>
          <w:rStyle w:val="Strong"/>
          <w:color w:val="000000"/>
        </w:rPr>
      </w:pPr>
      <w:r>
        <w:rPr/>
      </w:r>
    </w:p>
    <w:p>
      <w:pPr>
        <w:pStyle w:val="Normal"/>
        <w:rPr>
          <w:rFonts w:ascii="Arial" w:hAnsi="Arial" w:cs="Arial"/>
          <w:color w:val="000000"/>
          <w:sz w:val="20"/>
          <w:szCs w:val="20"/>
        </w:rPr>
      </w:pPr>
      <w:r>
        <w:rPr>
          <w:rFonts w:cs="Arial" w:ascii="Arial" w:hAnsi="Arial"/>
          <w:color w:val="000000"/>
          <w:sz w:val="20"/>
          <w:szCs w:val="20"/>
        </w:rPr>
        <w:t>In January 2001, a group of Generators filed an emergency motion at FERC to seek action to compel the ISO to follow its tariff and allow transactions only with creditworthy counterparties. What followed was a series of orders that were each more specific -- but each requiring the ISO to follow its tariff and require credit support or collateral for parties engaged in ISO transactions.  The ISO continues to be in significant arrears in its payments to suppliers.  Currently, only about 8-10% of the bills are being paid.  About $4 billion is owed since February of this year. Obviously, the ISO is in violation of these FERC orders.  FERC has taken no action to enforce its orders.</w:t>
      </w:r>
      <w:r>
        <w:br w:type="page"/>
      </w:r>
    </w:p>
    <w:p>
      <w:pPr>
        <w:pStyle w:val="Normal"/>
        <w:rPr>
          <w:rFonts w:ascii="Arial" w:hAnsi="Arial" w:cs="Arial"/>
          <w:color w:val="000000"/>
          <w:sz w:val="20"/>
          <w:szCs w:val="20"/>
        </w:rPr>
      </w:pPr>
      <w:r>
        <w:rPr>
          <w:rFonts w:cs="Arial" w:ascii="Arial" w:hAnsi="Arial"/>
          <w:color w:val="000000"/>
          <w:sz w:val="20"/>
          <w:szCs w:val="20"/>
        </w:rPr>
      </w:r>
    </w:p>
    <w:p>
      <w:pPr>
        <w:pStyle w:val="BodyText"/>
        <w:jc w:val="center"/>
        <w:rPr>
          <w:b/>
          <w:bCs/>
          <w:sz w:val="24"/>
        </w:rPr>
      </w:pPr>
      <w:r>
        <w:rPr>
          <w:b/>
          <w:bCs/>
          <w:sz w:val="24"/>
        </w:rPr>
        <w:t>UPDATE OF CALISO ISSUES – TOP 5</w:t>
      </w:r>
    </w:p>
    <w:p>
      <w:pPr>
        <w:pStyle w:val="BodyText"/>
        <w:rPr>
          <w:b/>
          <w:bCs/>
          <w:sz w:val="24"/>
        </w:rPr>
      </w:pPr>
      <w:r>
        <w:rPr>
          <w:b/>
          <w:bCs/>
          <w:sz w:val="24"/>
        </w:rPr>
      </w:r>
    </w:p>
    <w:p>
      <w:pPr>
        <w:pStyle w:val="Normal"/>
        <w:autoSpaceDE w:val="false"/>
        <w:rPr>
          <w:rFonts w:ascii="Arial" w:hAnsi="Arial" w:cs="Arial"/>
          <w:sz w:val="20"/>
          <w:szCs w:val="20"/>
        </w:rPr>
      </w:pPr>
      <w:r>
        <w:rPr>
          <w:rFonts w:cs="Arial" w:ascii="Arial" w:hAnsi="Arial"/>
          <w:sz w:val="20"/>
          <w:szCs w:val="20"/>
        </w:rPr>
      </w:r>
    </w:p>
    <w:p>
      <w:pPr>
        <w:pStyle w:val="Heading1"/>
        <w:numPr>
          <w:ilvl w:val="0"/>
          <w:numId w:val="4"/>
        </w:numPr>
        <w:tabs>
          <w:tab w:val="clear" w:pos="720"/>
          <w:tab w:val="left" w:pos="0" w:leader="none"/>
        </w:tabs>
        <w:ind w:hanging="0" w:start="0" w:end="0"/>
        <w:jc w:val="start"/>
        <w:rPr>
          <w:b w:val="false"/>
          <w:bCs w:val="false"/>
          <w:u w:val="none"/>
        </w:rPr>
      </w:pPr>
      <w:r>
        <w:rPr/>
        <w:t>Governance</w:t>
      </w:r>
      <w:r>
        <w:rPr>
          <w:u w:val="none"/>
        </w:rPr>
        <w:t xml:space="preserve"> –</w:t>
      </w:r>
      <w:r>
        <w:rPr>
          <w:b w:val="false"/>
          <w:bCs w:val="false"/>
          <w:u w:val="none"/>
        </w:rPr>
        <w:t xml:space="preserve"> has never complied with the FERC rulings going back to the beginning in 1998 to be independent of state influence  -- as of Jan 2002, the CA ISO has been under the complete control of the Governor.</w:t>
      </w:r>
    </w:p>
    <w:p>
      <w:pPr>
        <w:pStyle w:val="Normal"/>
        <w:autoSpaceDE w:val="false"/>
        <w:rPr>
          <w:rFonts w:ascii="Arial" w:hAnsi="Arial" w:cs="Arial"/>
          <w:b/>
          <w:bCs/>
          <w:sz w:val="20"/>
          <w:szCs w:val="20"/>
          <w:u w:val="none"/>
        </w:rPr>
      </w:pPr>
      <w:r>
        <w:rPr>
          <w:rFonts w:cs="Arial" w:ascii="Arial" w:hAnsi="Arial"/>
          <w:b/>
          <w:bCs/>
          <w:sz w:val="20"/>
          <w:szCs w:val="20"/>
          <w:u w:val="none"/>
        </w:rPr>
      </w:r>
    </w:p>
    <w:p>
      <w:pPr>
        <w:pStyle w:val="Normal"/>
        <w:numPr>
          <w:ilvl w:val="0"/>
          <w:numId w:val="4"/>
        </w:numPr>
        <w:tabs>
          <w:tab w:val="clear" w:pos="720"/>
          <w:tab w:val="left" w:pos="0" w:leader="none"/>
        </w:tabs>
        <w:autoSpaceDE w:val="false"/>
        <w:ind w:hanging="0" w:start="0" w:end="0"/>
        <w:rPr>
          <w:rFonts w:ascii="Arial" w:hAnsi="Arial" w:cs="Arial"/>
          <w:sz w:val="20"/>
          <w:szCs w:val="20"/>
        </w:rPr>
      </w:pPr>
      <w:r>
        <w:rPr>
          <w:rFonts w:cs="Arial" w:ascii="Arial" w:hAnsi="Arial"/>
          <w:b/>
          <w:bCs/>
          <w:sz w:val="20"/>
          <w:szCs w:val="20"/>
          <w:u w:val="single"/>
        </w:rPr>
        <w:t>Creditworthiness</w:t>
      </w:r>
      <w:r>
        <w:rPr>
          <w:rFonts w:cs="Arial" w:ascii="Arial" w:hAnsi="Arial"/>
          <w:sz w:val="20"/>
          <w:szCs w:val="20"/>
        </w:rPr>
        <w:t xml:space="preserve"> -- has been under FERC orders to have a creditworthy counterparty for every transaction in its markets.  The CA Dept of Water (DWR) resources said it would be that counterparty. DWR is receiving money from retail customers (via daily wire transfers by the utilities). Yet the ISO has only paid about 8% of the money it owes suppliers -- where's the money?</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4"/>
        </w:numPr>
        <w:tabs>
          <w:tab w:val="clear" w:pos="720"/>
          <w:tab w:val="left" w:pos="0" w:leader="none"/>
        </w:tabs>
        <w:autoSpaceDE w:val="false"/>
        <w:ind w:hanging="0" w:start="0" w:end="0"/>
        <w:rPr>
          <w:rFonts w:ascii="Arial" w:hAnsi="Arial" w:cs="Arial"/>
          <w:sz w:val="20"/>
          <w:szCs w:val="20"/>
        </w:rPr>
      </w:pPr>
      <w:r>
        <w:rPr>
          <w:rFonts w:cs="Arial" w:ascii="Arial" w:hAnsi="Arial"/>
          <w:b/>
          <w:bCs/>
          <w:sz w:val="20"/>
          <w:szCs w:val="20"/>
          <w:u w:val="single"/>
        </w:rPr>
        <w:t>Illegal dispatching</w:t>
      </w:r>
      <w:r>
        <w:rPr>
          <w:rFonts w:cs="Arial" w:ascii="Arial" w:hAnsi="Arial"/>
          <w:sz w:val="20"/>
          <w:szCs w:val="20"/>
        </w:rPr>
        <w:t xml:space="preserve"> – a story by Jason Leopold a few days ago said that the ISO had ordered Southern CA Edison to reduce its baseload Mohave coal plant so it could buy expensive power from DWR -- this is something we've suspected but have had difficulty getting data on.</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4"/>
        </w:numPr>
        <w:tabs>
          <w:tab w:val="clear" w:pos="720"/>
          <w:tab w:val="left" w:pos="0" w:leader="none"/>
        </w:tabs>
        <w:autoSpaceDE w:val="false"/>
        <w:ind w:hanging="0" w:start="0" w:end="0"/>
        <w:rPr>
          <w:rFonts w:ascii="Arial" w:hAnsi="Arial" w:cs="Arial"/>
          <w:sz w:val="20"/>
          <w:szCs w:val="20"/>
        </w:rPr>
      </w:pPr>
      <w:r>
        <w:rPr>
          <w:rFonts w:cs="Arial" w:ascii="Arial" w:hAnsi="Arial"/>
          <w:b/>
          <w:bCs/>
          <w:sz w:val="20"/>
          <w:szCs w:val="20"/>
          <w:u w:val="single"/>
        </w:rPr>
        <w:t>Out-of-market calls (OOM)</w:t>
      </w:r>
      <w:r>
        <w:rPr>
          <w:rFonts w:cs="Arial" w:ascii="Arial" w:hAnsi="Arial"/>
          <w:sz w:val="20"/>
          <w:szCs w:val="20"/>
        </w:rPr>
        <w:t xml:space="preserve"> -- ISO is obligated to use the least expensive power from its market to meet load.  If not enough power is available and reliability is threatened, then the ISO can go out-of-market" and pay whatever it takes -- i.e. is not limited by the price cap -- to keep the lights on.  We believe that the ISO is doing this even when loads of cheap power is available in the market.  The ISO is going out and buying very expensive power from DWR -- this covers up DWR's bad contracts AND spreads the costs to all parties (not just DWR and the investor-owned utilities).  Further, DWR can create the ISO emergency and the need to make OOM calls in the first place simply by failing to schedule sufficient power to meet its load (even though it is swimming in excess power).  </w:t>
      </w:r>
    </w:p>
    <w:p>
      <w:pPr>
        <w:pStyle w:val="Normal"/>
        <w:autoSpaceDE w:val="false"/>
        <w:rPr>
          <w:rFonts w:ascii="Arial" w:hAnsi="Arial" w:cs="Arial"/>
          <w:sz w:val="20"/>
          <w:szCs w:val="20"/>
        </w:rPr>
      </w:pPr>
      <w:r>
        <w:rPr>
          <w:rFonts w:cs="Arial" w:ascii="Arial" w:hAnsi="Arial"/>
          <w:sz w:val="20"/>
          <w:szCs w:val="20"/>
        </w:rPr>
      </w:r>
    </w:p>
    <w:p>
      <w:pPr>
        <w:pStyle w:val="FootnoteText"/>
        <w:autoSpaceDE w:val="false"/>
        <w:rPr>
          <w:rFonts w:ascii="Arial" w:hAnsi="Arial" w:cs="Arial"/>
          <w:sz w:val="20"/>
          <w:szCs w:val="20"/>
          <w:lang w:val="en-US"/>
        </w:rPr>
      </w:pPr>
      <w:r>
        <w:rPr>
          <w:rFonts w:cs="Arial" w:ascii="Arial" w:hAnsi="Arial"/>
          <w:sz w:val="20"/>
          <w:szCs w:val="20"/>
          <w:lang w:val="en-US"/>
        </w:rPr>
      </w:r>
    </w:p>
    <w:p>
      <w:pPr>
        <w:pStyle w:val="Normal"/>
        <w:numPr>
          <w:ilvl w:val="0"/>
          <w:numId w:val="4"/>
        </w:numPr>
        <w:tabs>
          <w:tab w:val="clear" w:pos="720"/>
          <w:tab w:val="left" w:pos="0" w:leader="none"/>
        </w:tabs>
        <w:autoSpaceDE w:val="false"/>
        <w:ind w:hanging="0" w:start="0" w:end="0"/>
        <w:rPr>
          <w:rFonts w:ascii="Arial" w:hAnsi="Arial" w:cs="Arial"/>
          <w:sz w:val="20"/>
          <w:szCs w:val="20"/>
        </w:rPr>
      </w:pPr>
      <w:r>
        <w:rPr>
          <w:rFonts w:cs="Arial" w:ascii="Arial" w:hAnsi="Arial"/>
          <w:b/>
          <w:bCs/>
          <w:sz w:val="20"/>
          <w:szCs w:val="20"/>
          <w:u w:val="single"/>
        </w:rPr>
        <w:t>Secrecy and lack of information</w:t>
      </w:r>
      <w:r>
        <w:rPr>
          <w:rFonts w:cs="Arial" w:ascii="Arial" w:hAnsi="Arial"/>
          <w:sz w:val="20"/>
          <w:szCs w:val="20"/>
        </w:rPr>
        <w:t xml:space="preserve"> -- this has always been an issue but since the takeover by the Governor, it is even more difficult to get information and less data are appearing on the ISO's web site for public review. I predict this will continue to head downhill.</w:t>
      </w:r>
    </w:p>
    <w:p>
      <w:pPr>
        <w:pStyle w:val="Normal"/>
        <w:autoSpaceDE w:val="false"/>
        <w:rPr>
          <w:rFonts w:ascii="Arial" w:hAnsi="Arial" w:cs="Arial"/>
          <w:sz w:val="20"/>
          <w:szCs w:val="20"/>
        </w:rPr>
      </w:pPr>
      <w:r>
        <w:rPr>
          <w:rFonts w:cs="Arial" w:ascii="Arial" w:hAnsi="Arial"/>
          <w:sz w:val="20"/>
          <w:szCs w:val="20"/>
        </w:rPr>
      </w:r>
    </w:p>
    <w:p>
      <w:pPr>
        <w:pStyle w:val="Normal"/>
        <w:rPr>
          <w:rFonts w:ascii="Arial" w:hAnsi="Arial" w:cs="Arial"/>
          <w:color w:val="000000"/>
          <w:sz w:val="20"/>
          <w:szCs w:val="20"/>
        </w:rPr>
      </w:pPr>
      <w:r>
        <w:rPr>
          <w:rFonts w:cs="Arial" w:ascii="Arial" w:hAnsi="Arial"/>
          <w:color w:val="000000"/>
          <w:sz w:val="20"/>
          <w:szCs w:val="20"/>
        </w:rPr>
      </w:r>
    </w:p>
    <w:p>
      <w:pPr>
        <w:pStyle w:val="FootnoteText"/>
        <w:rPr>
          <w:rFonts w:ascii="Arial" w:hAnsi="Arial" w:cs="Arial"/>
          <w:color w:val="000000"/>
          <w:szCs w:val="24"/>
          <w:lang w:val="en-US"/>
        </w:rPr>
      </w:pPr>
      <w:r>
        <w:rPr>
          <w:rFonts w:cs="Arial" w:ascii="Arial" w:hAnsi="Arial"/>
          <w:color w:val="000000"/>
          <w:szCs w:val="24"/>
          <w:lang w:val="en-US"/>
        </w:rPr>
      </w:r>
    </w:p>
    <w:sectPr>
      <w:footerReference w:type="default" r:id="rId4"/>
      <w:footerReference w:type="first" r:id="rId5"/>
      <w:footnotePr>
        <w:numFmt w:val="decimal"/>
      </w:footnotePr>
      <w:type w:val="nextPage"/>
      <w:pgSz w:w="12240" w:h="15840"/>
      <w:pgMar w:left="1008" w:right="1008"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High, “damage control” price caps have existed since the inception of the California deregulated markets in 1998.  Beginning with orders issued beginning November 1, 2000, the FERC adopted stricter price controls on California.  The first price control was a $150/MWh “soft” cap.  Prices sold above the cap were subject to cost justification and potential refund.  On April 26, the price controls were modified to be based upon the marginal cost of generation rather than a fixed break point and was only in effect during CAISO-determined system emergencies.  The June 19</w:t>
      </w:r>
      <w:r>
        <w:rPr>
          <w:vertAlign w:val="superscript"/>
        </w:rPr>
        <w:t>th</w:t>
      </w:r>
      <w:r>
        <w:rPr/>
        <w:t xml:space="preserve"> order expanded the order to include price mitigation in all hours and expanded the mitigation to the entire WSCC.</w:t>
      </w:r>
    </w:p>
  </w:footnote>
  <w:footnote w:id="3">
    <w:p>
      <w:pPr>
        <w:pStyle w:val="FootnoteText"/>
        <w:rPr/>
      </w:pPr>
      <w:r>
        <w:rPr>
          <w:rStyle w:val="FootnoteCharacters"/>
        </w:rPr>
        <w:footnoteRef/>
      </w:r>
      <w:r>
        <w:rPr/>
        <w:t xml:space="preserve"> </w:t>
      </w:r>
      <w:r>
        <w:rPr/>
        <w:t>The FERC has said it will consider modifying the westwide cap outside of California at the end of this summer.  Comments on this topic were accepted in August 2001.</w:t>
      </w:r>
    </w:p>
  </w:footnote>
  <w:footnote w:id="4">
    <w:p>
      <w:pPr>
        <w:pStyle w:val="FootnoteText"/>
        <w:rPr/>
      </w:pPr>
      <w:r>
        <w:rPr>
          <w:rStyle w:val="FootnoteCharacters"/>
        </w:rPr>
        <w:footnoteRef/>
      </w:r>
      <w:r>
        <w:rPr/>
        <w:t xml:space="preserve"> </w:t>
      </w:r>
      <w:r>
        <w:rPr/>
        <w:t>FERC has defined the spot market as sales that are 24 hours or less and that are entered into the day of or day prior to delivery.</w:t>
      </w:r>
    </w:p>
  </w:footnote>
  <w:footnote w:id="5">
    <w:p>
      <w:pPr>
        <w:pStyle w:val="FootnoteText"/>
        <w:rPr/>
      </w:pPr>
      <w:r>
        <w:rPr>
          <w:rStyle w:val="FootnoteCharacters"/>
        </w:rPr>
        <w:footnoteRef/>
      </w:r>
      <w:r>
        <w:rPr/>
        <w:t xml:space="preserve"> </w:t>
      </w:r>
      <w:r>
        <w:rPr/>
        <w:t>Reserve deficiency, also known as a system emergency,  is whenever available supplies are less than 107% of projected demand.</w:t>
      </w:r>
    </w:p>
  </w:footnote>
  <w:footnote w:id="6">
    <w:p>
      <w:pPr>
        <w:pStyle w:val="FootnoteText"/>
        <w:rPr/>
      </w:pPr>
      <w:r>
        <w:rPr>
          <w:rStyle w:val="FootnoteCharacters"/>
        </w:rPr>
        <w:footnoteRef/>
      </w:r>
      <w:r>
        <w:rPr/>
        <w:t xml:space="preserve"> </w:t>
      </w:r>
      <w:r>
        <w:rPr/>
        <w:t>Stage 1 is the least severe form of reserve deficiency.  More severe emergencies are Stage 2 (reserves below 5%) and Stage 3 (reserves below 1.5%).</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bullet"/>
      <w:lvlText w:val=""/>
      <w:lvlJc w:val="start"/>
      <w:pPr>
        <w:tabs>
          <w:tab w:val="num" w:pos="1440"/>
        </w:tabs>
        <w:ind w:start="144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jc w:val="both"/>
      <w:outlineLvl w:val="0"/>
    </w:pPr>
    <w:rPr>
      <w:rFonts w:ascii="Arial" w:hAnsi="Arial" w:cs="Arial"/>
      <w:b/>
      <w:bCs/>
      <w:sz w:val="20"/>
      <w:szCs w:val="20"/>
      <w:u w:val="single"/>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outlineLvl w:val="2"/>
    </w:pPr>
    <w:rPr>
      <w:rFonts w:ascii="Arial" w:hAnsi="Arial" w:cs="Arial"/>
      <w:b/>
      <w:bCs/>
      <w:color w:val="000000"/>
      <w:sz w:val="20"/>
      <w:szCs w:val="20"/>
    </w:rPr>
  </w:style>
  <w:style w:type="paragraph" w:styleId="Heading4">
    <w:name w:val="heading 4"/>
    <w:basedOn w:val="Normal"/>
    <w:next w:val="Normal"/>
    <w:qFormat/>
    <w:pPr>
      <w:keepNext w:val="true"/>
      <w:numPr>
        <w:ilvl w:val="3"/>
        <w:numId w:val="1"/>
      </w:numPr>
      <w:ind w:hanging="0" w:start="360" w:end="0"/>
      <w:outlineLvl w:val="3"/>
    </w:pPr>
    <w:rPr>
      <w:b/>
      <w:bCs/>
      <w:lang w:val="en-GB"/>
    </w:rPr>
  </w:style>
  <w:style w:type="paragraph" w:styleId="Heading5">
    <w:name w:val="heading 5"/>
    <w:basedOn w:val="Normal"/>
    <w:next w:val="Normal"/>
    <w:qFormat/>
    <w:pPr>
      <w:keepNext w:val="true"/>
      <w:numPr>
        <w:ilvl w:val="4"/>
        <w:numId w:val="1"/>
      </w:numPr>
      <w:ind w:firstLine="720" w:start="0" w:end="0"/>
      <w:outlineLvl w:val="4"/>
    </w:pPr>
    <w:rPr>
      <w:b/>
      <w:bCs/>
      <w:lang w:val="en-GB"/>
    </w:rPr>
  </w:style>
  <w:style w:type="paragraph" w:styleId="Heading6">
    <w:name w:val="heading 6"/>
    <w:basedOn w:val="Normal"/>
    <w:next w:val="Normal"/>
    <w:qFormat/>
    <w:pPr>
      <w:keepNext w:val="true"/>
      <w:numPr>
        <w:ilvl w:val="5"/>
        <w:numId w:val="1"/>
      </w:numPr>
      <w:outlineLvl w:val="5"/>
    </w:pPr>
    <w:rPr>
      <w:rFonts w:ascii="Arial" w:hAnsi="Arial" w:cs="Arial"/>
      <w:color w:val="000000"/>
      <w:szCs w:val="20"/>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5z0">
    <w:name w:val="WW8Num5z0"/>
    <w:qFormat/>
    <w:rPr>
      <w:rFonts w:ascii="Times New Roman" w:hAnsi="Times New Roman"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8z0">
    <w:name w:val="WW8Num8z0"/>
    <w:qFormat/>
    <w:rPr>
      <w:rFonts w:ascii="Times New Roman" w:hAnsi="Times New Roman"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Times New Roman" w:hAnsi="Times New Roman" w:eastAsia="Times New Roman" w:cs="Times New Roman"/>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style>
  <w:style w:type="character" w:styleId="WW8Num10z2">
    <w:name w:val="WW8Num10z2"/>
    <w:qFormat/>
    <w:rPr>
      <w:rFonts w:ascii="Wingdings" w:hAnsi="Wingdings" w:cs="Wingdings"/>
    </w:rPr>
  </w:style>
  <w:style w:type="character" w:styleId="WW8Num10z4">
    <w:name w:val="WW8Num10z4"/>
    <w:qFormat/>
    <w:rPr>
      <w:rFonts w:ascii="Courier New" w:hAnsi="Courier New" w:cs="Courier New"/>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Strong">
    <w:name w:val="Strong"/>
    <w:basedOn w:val="DefaultParagraphFont"/>
    <w:qFormat/>
    <w:rPr>
      <w:b/>
      <w:bCs/>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Arial" w:hAnsi="Arial" w:cs="Arial"/>
      <w:b/>
      <w:bCs/>
    </w:rPr>
  </w:style>
  <w:style w:type="paragraph" w:styleId="BodyText">
    <w:name w:val="Body Text"/>
    <w:basedOn w:val="Normal"/>
    <w:pPr>
      <w:autoSpaceDE w:val="false"/>
    </w:pPr>
    <w:rPr>
      <w:rFonts w:ascii="Arial" w:hAnsi="Arial" w:cs="Arial"/>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360" w:start="0" w:end="0"/>
      <w:jc w:val="both"/>
    </w:pPr>
    <w:rPr/>
  </w:style>
  <w:style w:type="paragraph" w:styleId="BodyTextIndent2">
    <w:name w:val="Body Text Indent 2"/>
    <w:basedOn w:val="Normal"/>
    <w:qFormat/>
    <w:pPr>
      <w:ind w:hanging="1260" w:start="1980" w:end="0"/>
    </w:pPr>
    <w:rPr>
      <w:rFonts w:ascii="Arial" w:hAnsi="Arial" w:cs="Arial"/>
      <w:b/>
      <w:bCs/>
      <w:i/>
      <w:iCs/>
    </w:rPr>
  </w:style>
  <w:style w:type="paragraph" w:styleId="BodyTextIndent3">
    <w:name w:val="Body Text Indent 3"/>
    <w:basedOn w:val="Normal"/>
    <w:qFormat/>
    <w:pPr>
      <w:autoSpaceDE w:val="false"/>
      <w:ind w:hanging="0" w:start="360" w:end="0"/>
    </w:pPr>
    <w:rPr>
      <w:rFonts w:ascii="Arial" w:hAnsi="Arial" w:cs="Arial"/>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lang w:val="en-GB"/>
    </w:rPr>
  </w:style>
  <w:style w:type="paragraph" w:styleId="BodyText2">
    <w:name w:val="Body Text 2"/>
    <w:basedOn w:val="Normal"/>
    <w:qFormat/>
    <w:pPr>
      <w:autoSpaceDE w:val="false"/>
      <w:spacing w:lineRule="atLeast" w:line="240"/>
    </w:pPr>
    <w:rPr>
      <w:rFonts w:ascii="Arial" w:hAnsi="Arial" w:cs="Arial"/>
      <w:color w:val="000000"/>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2001-09-07T18:04:00Z</dcterms:created>
  <dc:creator>gdernehl</dc:creator>
  <dc:description/>
  <dc:language>en-CA</dc:language>
  <cp:lastModifiedBy>pkaufma</cp:lastModifiedBy>
  <cp:lastPrinted>2001-09-07T13:22:00Z</cp:lastPrinted>
  <dcterms:modified xsi:type="dcterms:W3CDTF">2001-09-07T18:04:00Z</dcterms:modified>
  <cp:revision>2</cp:revision>
  <dc:subject/>
  <dc:title>-</dc:title>
</cp:coreProperties>
</file>