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Fact Sheet on EPMI-PGE Transmission Contract</w:t>
      </w:r>
    </w:p>
    <w:p>
      <w:pPr>
        <w:pStyle w:val="Normal"/>
        <w:rPr/>
      </w:pPr>
      <w:r>
        <w:rPr/>
      </w:r>
    </w:p>
    <w:p>
      <w:pPr>
        <w:pStyle w:val="Normal"/>
        <w:rPr/>
      </w:pPr>
      <w:r>
        <w:rPr/>
        <w:t>1. PGE-EPMI Service Agreement dated 2/27/98</w:t>
      </w:r>
    </w:p>
    <w:p>
      <w:pPr>
        <w:pStyle w:val="Normal"/>
        <w:rPr/>
      </w:pPr>
      <w:r>
        <w:rPr/>
      </w:r>
    </w:p>
    <w:p>
      <w:pPr>
        <w:pStyle w:val="Normal"/>
        <w:numPr>
          <w:ilvl w:val="0"/>
          <w:numId w:val="2"/>
        </w:numPr>
        <w:rPr/>
      </w:pPr>
      <w:r>
        <w:rPr/>
        <w:t>EPMI holds 180 MW on PGE’s portion of the Southern Intertie, (John Day/Keeler to COB)</w:t>
      </w:r>
    </w:p>
    <w:p>
      <w:pPr>
        <w:pStyle w:val="Normal"/>
        <w:numPr>
          <w:ilvl w:val="0"/>
          <w:numId w:val="2"/>
        </w:numPr>
        <w:rPr/>
      </w:pPr>
      <w:r>
        <w:rPr/>
        <w:t>Term is until 10/15/2015</w:t>
      </w:r>
    </w:p>
    <w:p>
      <w:pPr>
        <w:pStyle w:val="Normal"/>
        <w:numPr>
          <w:ilvl w:val="0"/>
          <w:numId w:val="2"/>
        </w:numPr>
        <w:rPr/>
      </w:pPr>
      <w:r>
        <w:rPr/>
        <w:t>Terms and conditions include PGE’s OATT</w:t>
      </w:r>
    </w:p>
    <w:p>
      <w:pPr>
        <w:pStyle w:val="Normal"/>
        <w:numPr>
          <w:ilvl w:val="0"/>
          <w:numId w:val="2"/>
        </w:numPr>
        <w:rPr/>
      </w:pPr>
      <w:r>
        <w:rPr/>
        <w:t>Current demand charge is $105,000 per month  (equivalent to $0.60/kW-mo or $0.80/MWh at a 100% capacity factor)</w:t>
      </w:r>
    </w:p>
    <w:p>
      <w:pPr>
        <w:pStyle w:val="Normal"/>
        <w:numPr>
          <w:ilvl w:val="0"/>
          <w:numId w:val="2"/>
        </w:numPr>
        <w:rPr/>
      </w:pPr>
      <w:r>
        <w:rPr/>
        <w:t>Contract is considered to be in the money at current and expected future Mid-C to COB spreads</w:t>
      </w:r>
    </w:p>
    <w:p>
      <w:pPr>
        <w:pStyle w:val="Normal"/>
        <w:rPr/>
      </w:pPr>
      <w:r>
        <w:rPr/>
      </w:r>
    </w:p>
    <w:p>
      <w:pPr>
        <w:pStyle w:val="Normal"/>
        <w:rPr/>
      </w:pPr>
      <w:r>
        <w:rPr/>
        <w:t>2. PGE Open Access Transmission Tariff (OATT) (dated 4/2/2001)</w:t>
      </w:r>
    </w:p>
    <w:p>
      <w:pPr>
        <w:pStyle w:val="Normal"/>
        <w:rPr/>
      </w:pPr>
      <w:r>
        <w:rPr/>
      </w:r>
    </w:p>
    <w:p>
      <w:pPr>
        <w:pStyle w:val="Normal"/>
        <w:rPr/>
      </w:pPr>
      <w:r>
        <w:rPr/>
        <w:t>A. Assignment (Section 23 )</w:t>
      </w:r>
    </w:p>
    <w:p>
      <w:pPr>
        <w:pStyle w:val="Normal"/>
        <w:rPr/>
      </w:pPr>
      <w:r>
        <w:rPr/>
      </w:r>
    </w:p>
    <w:p>
      <w:pPr>
        <w:pStyle w:val="Normal"/>
        <w:rPr/>
      </w:pPr>
      <w:r>
        <w:rPr/>
        <w:t xml:space="preserve">Although it is unclear what is a “necessary” FERC filing, assignment is allowed: </w:t>
      </w:r>
    </w:p>
    <w:p>
      <w:pPr>
        <w:pStyle w:val="Normal"/>
        <w:rPr/>
      </w:pPr>
      <w:r>
        <w:rPr/>
      </w:r>
    </w:p>
    <w:p>
      <w:pPr>
        <w:pStyle w:val="Normal"/>
        <w:rPr/>
      </w:pPr>
      <w:r>
        <w:rPr/>
        <w:t>“</w:t>
      </w:r>
      <w:r>
        <w:rPr/>
        <w:t>Subject to Commission approval of any necessary filings, a Transmission Customer may sell, assign, or transfer all or a portion of its rights under its Service Agreement, …. The Transmission Customer that sells, assigns or transfers its rights under its Service Agreement is hereafter referred to as the Reseller. Compensation to the Reseller shall not exceed the higher of (i) the original rate paid by the Reseller, (ii) the Transmission Provider's maximum rate on file at the time of the assignment, or (iii) the Reseller's opportunity cost capped at the Transmission Provider’s cost of expansion. “</w:t>
      </w:r>
    </w:p>
    <w:p>
      <w:pPr>
        <w:pStyle w:val="Normal"/>
        <w:rPr/>
      </w:pPr>
      <w:r>
        <w:rPr/>
      </w:r>
    </w:p>
    <w:p>
      <w:pPr>
        <w:pStyle w:val="Normal"/>
        <w:rPr/>
      </w:pPr>
      <w:r>
        <w:rPr/>
        <w:t>B. Default (Section 7.3)</w:t>
      </w:r>
    </w:p>
    <w:p>
      <w:pPr>
        <w:pStyle w:val="Normal"/>
        <w:rPr/>
      </w:pPr>
      <w:r>
        <w:rPr/>
      </w:r>
    </w:p>
    <w:p>
      <w:pPr>
        <w:pStyle w:val="Normal"/>
        <w:rPr/>
      </w:pPr>
      <w:r>
        <w:rPr/>
        <w:t xml:space="preserve">Once a bill is past due, a customer has 30 days to cure situation before being in default.  </w:t>
      </w:r>
    </w:p>
    <w:p>
      <w:pPr>
        <w:pStyle w:val="Normal"/>
        <w:rPr/>
      </w:pPr>
      <w:r>
        <w:rPr/>
      </w:r>
    </w:p>
    <w:p>
      <w:pPr>
        <w:pStyle w:val="Normal"/>
        <w:rPr/>
      </w:pPr>
      <w:r>
        <w:rPr/>
        <w:t>I could not find any default provisions triggered by bankruptcy.</w:t>
      </w:r>
    </w:p>
    <w:p>
      <w:pPr>
        <w:pStyle w:val="Normal"/>
        <w:rPr/>
      </w:pPr>
      <w:r>
        <w:rPr/>
      </w:r>
    </w:p>
    <w:p>
      <w:pPr>
        <w:pStyle w:val="Normal"/>
        <w:rPr/>
      </w:pPr>
      <w:r>
        <w:rPr/>
        <w:t>C. Creditworthiness (Section 11)</w:t>
      </w:r>
    </w:p>
    <w:p>
      <w:pPr>
        <w:pStyle w:val="Normal"/>
        <w:rPr/>
      </w:pPr>
      <w:r>
        <w:rPr/>
      </w:r>
    </w:p>
    <w:p>
      <w:pPr>
        <w:pStyle w:val="Normal"/>
        <w:rPr/>
      </w:pPr>
      <w:r>
        <w:rPr/>
        <w:t>Normal OATT provisions apply.</w:t>
      </w:r>
    </w:p>
    <w:p>
      <w:pPr>
        <w:pStyle w:val="Normal"/>
        <w:rPr/>
      </w:pPr>
      <w:r>
        <w:rPr/>
      </w:r>
    </w:p>
    <w:p>
      <w:pPr>
        <w:pStyle w:val="Normal"/>
        <w:rPr/>
      </w:pPr>
      <w:r>
        <w:rPr/>
        <w:t>D. Service Initiation (17.3)</w:t>
      </w:r>
    </w:p>
    <w:p>
      <w:pPr>
        <w:pStyle w:val="Normal"/>
        <w:rPr/>
      </w:pPr>
      <w:r>
        <w:rPr/>
      </w:r>
    </w:p>
    <w:p>
      <w:pPr>
        <w:pStyle w:val="Normal"/>
        <w:rPr/>
      </w:pPr>
      <w:r>
        <w:rPr/>
        <w:t>Standard OATT provisions apply (i.e., 60-day review period).  A deposit of 1-month’s service is required</w:t>
      </w:r>
    </w:p>
    <w:p>
      <w:pPr>
        <w:pStyle w:val="Normal"/>
        <w:rPr/>
      </w:pPr>
      <w:r>
        <w:rPr/>
      </w:r>
    </w:p>
    <w:p>
      <w:pPr>
        <w:pStyle w:val="Normal"/>
        <w:rPr/>
      </w:pPr>
      <w:r>
        <w:rPr/>
        <w:t>3. The FERC Order Approving  Transfer of PGE Tranny to EPMI, FERC Docket No. EC97-53-000</w:t>
      </w:r>
    </w:p>
    <w:p>
      <w:pPr>
        <w:pStyle w:val="Normal"/>
        <w:rPr/>
      </w:pPr>
      <w:r>
        <w:rPr/>
      </w:r>
    </w:p>
    <w:p>
      <w:pPr>
        <w:pStyle w:val="Normal"/>
        <w:rPr/>
      </w:pPr>
      <w:r>
        <w:rPr/>
        <w:t>In August 1997, PGE requested authorization to transfer to EPMI  (1) a Settlement Exchange Agreement between  Portland General and the … Bonneville Power Administration  (Bonneville Agreement);   and (2) a Long-Term Power Sale  Agreement between Portland General and the United States, acting  through the Western Area Power Administration (WAPA) (Western  Agreement).    The Western agreement had transmission capacity associated with it that was eventually formalized as the 180 MW OATT firm service that became referenced in the 2/26/98 PGE-EPMI service agreement (see above).</w:t>
      </w:r>
    </w:p>
    <w:p>
      <w:pPr>
        <w:pStyle w:val="Normal"/>
        <w:rPr/>
      </w:pPr>
      <w:r>
        <w:rPr/>
      </w:r>
    </w:p>
    <w:p>
      <w:pPr>
        <w:pStyle w:val="Normal"/>
        <w:rPr/>
      </w:pPr>
      <w:r>
        <w:rPr/>
        <w:t>Pacific Gas &amp; Electric (PG&amp;E) opposed the transfer stating that an affiliate transfer violated the affiliate restrictions associated with the PGE-Enron merger:</w:t>
      </w:r>
    </w:p>
    <w:p>
      <w:pPr>
        <w:pStyle w:val="Normal"/>
        <w:rPr/>
      </w:pPr>
      <w:r>
        <w:rPr/>
      </w:r>
    </w:p>
    <w:p>
      <w:pPr>
        <w:pStyle w:val="Normal"/>
        <w:rPr/>
      </w:pPr>
      <w:r>
        <w:rPr/>
        <w:t xml:space="preserve"> “</w:t>
      </w:r>
      <w:r>
        <w:rPr/>
        <w:t>PG&amp;E argues that the proposed transfer of the rate schedules would violate certain affiliate abuse restrictions that are contained in Enron Marketing's FERC Rate Schedule No. 1R1, which  the Commission accepted in the Merger Proceeding. Paragraph 8 of      Rate Schedule 1R1 states:</w:t>
      </w:r>
    </w:p>
    <w:p>
      <w:pPr>
        <w:pStyle w:val="Normal"/>
        <w:rPr/>
      </w:pPr>
      <w:r>
        <w:rPr/>
      </w:r>
    </w:p>
    <w:p>
      <w:pPr>
        <w:pStyle w:val="Normal"/>
        <w:rPr/>
      </w:pPr>
      <w:r>
        <w:rPr/>
        <w:t xml:space="preserve">          </w:t>
      </w:r>
      <w:r>
        <w:rPr/>
        <w:t>8.  Sales of Other Goods and Services.  Neither Enron</w:t>
      </w:r>
    </w:p>
    <w:p>
      <w:pPr>
        <w:pStyle w:val="Normal"/>
        <w:rPr/>
      </w:pPr>
      <w:r>
        <w:rPr/>
        <w:t xml:space="preserve">          </w:t>
      </w:r>
      <w:r>
        <w:rPr/>
        <w:t>Power Marketing, Inc. nor any of its affiliates will</w:t>
      </w:r>
    </w:p>
    <w:p>
      <w:pPr>
        <w:pStyle w:val="Normal"/>
        <w:rPr/>
      </w:pPr>
      <w:r>
        <w:rPr/>
        <w:t xml:space="preserve">          </w:t>
      </w:r>
      <w:r>
        <w:rPr/>
        <w:t>(A) sell any other goods or services to [Portland</w:t>
      </w:r>
    </w:p>
    <w:p>
      <w:pPr>
        <w:pStyle w:val="Normal"/>
        <w:rPr/>
      </w:pPr>
      <w:r>
        <w:rPr/>
        <w:t xml:space="preserve">          </w:t>
      </w:r>
      <w:r>
        <w:rPr/>
        <w:t>General] at a price in excess of market value, or (B)</w:t>
      </w:r>
    </w:p>
    <w:p>
      <w:pPr>
        <w:pStyle w:val="Normal"/>
        <w:rPr/>
      </w:pPr>
      <w:r>
        <w:rPr/>
        <w:t xml:space="preserve">          </w:t>
      </w:r>
      <w:r>
        <w:rPr/>
        <w:t>purchase any other goods or services from [Portland</w:t>
      </w:r>
    </w:p>
    <w:p>
      <w:pPr>
        <w:pStyle w:val="Normal"/>
        <w:rPr/>
      </w:pPr>
      <w:r>
        <w:rPr/>
        <w:t xml:space="preserve">          </w:t>
      </w:r>
      <w:r>
        <w:rPr/>
        <w:t>General] at price [sic] lower than the higher of market</w:t>
      </w:r>
    </w:p>
    <w:p>
      <w:pPr>
        <w:pStyle w:val="Normal"/>
        <w:rPr/>
      </w:pPr>
      <w:r>
        <w:rPr/>
        <w:t xml:space="preserve">          </w:t>
      </w:r>
      <w:r>
        <w:rPr/>
        <w:t>value or cost.”</w:t>
      </w:r>
    </w:p>
    <w:p>
      <w:pPr>
        <w:pStyle w:val="Normal"/>
        <w:rPr/>
      </w:pPr>
      <w:r>
        <w:rPr/>
      </w:r>
    </w:p>
    <w:p>
      <w:pPr>
        <w:pStyle w:val="Normal"/>
        <w:rPr/>
      </w:pPr>
      <w:r>
        <w:rPr/>
        <w:t>However, PG&amp;E’s claim was denied with prejudice by the FERC.  A transfer of a FERC approved contract is not subject to the provision cited by PG&amp;E.</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 Confidential December 13, 2001</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2001-12-13T20:47:00Z</dcterms:created>
  <dc:creator>acomnes</dc:creator>
  <dc:description/>
  <dc:language>en-CA</dc:language>
  <cp:lastModifiedBy>acomnes</cp:lastModifiedBy>
  <dcterms:modified xsi:type="dcterms:W3CDTF">2001-12-13T21:40:00Z</dcterms:modified>
  <cp:revision>5</cp:revision>
  <dc:subject/>
  <dc:title>Draft Confidential December 13, 2001</dc:title>
</cp:coreProperties>
</file>