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exact" w:line="160"/>
        <w:rPr>
          <w:spacing w:val="-2"/>
        </w:rPr>
      </w:pPr>
      <w:r>
        <w:fldChar w:fldCharType="begin"/>
      </w:r>
      <w:r>
        <w:rPr>
          <w:spacing w:val="-2"/>
        </w:rPr>
        <w:instrText xml:space="preserve">ADVANCE \U 21.60</w:instrText>
      </w:r>
      <w:r>
        <w:rPr>
          <w:spacing w:val="-2"/>
        </w:rPr>
      </w:r>
      <w:r>
        <w:rPr>
          <w:spacing w:val="-2"/>
        </w:rPr>
        <w:fldChar w:fldCharType="separate"/>
      </w:r>
      <w:r>
        <w:rPr>
          <w:spacing w:val="-2"/>
        </w:rPr>
      </w:r>
      <w:r/>
      <w:r>
        <w:rPr>
          <w:spacing w:val="-2"/>
        </w:rPr>
        <w:fldChar w:fldCharType="end"/>
      </w:r>
      <w:r>
        <w:rPr>
          <w:spacing w:val="-2"/>
        </w:rPr>
      </w:r>
      <w:r>
        <mc:AlternateContent>
          <mc:Choice Requires="wps">
            <w:drawing>
              <wp:anchor behindDoc="0" distT="155575" distB="155575" distL="155575" distR="155575" simplePos="0" locked="0" layoutInCell="0" allowOverlap="1" relativeHeight="2">
                <wp:simplePos x="0" y="0"/>
                <wp:positionH relativeFrom="page">
                  <wp:posOffset>1885950</wp:posOffset>
                </wp:positionH>
                <wp:positionV relativeFrom="paragraph">
                  <wp:posOffset>-367665</wp:posOffset>
                </wp:positionV>
                <wp:extent cx="4109085" cy="1099820"/>
                <wp:effectExtent l="0" t="0" r="0" b="0"/>
                <wp:wrapSquare wrapText="bothSides"/>
                <wp:docPr id="1" name="Frame1"/>
                <a:graphic xmlns:a="http://schemas.openxmlformats.org/drawingml/2006/main">
                  <a:graphicData uri="http://schemas.microsoft.com/office/word/2010/wordprocessingShape">
                    <wps:wsp>
                      <wps:cNvSpPr txBox="1"/>
                      <wps:spPr>
                        <a:xfrm>
                          <a:off x="0" y="0"/>
                          <a:ext cx="4109085" cy="1099820"/>
                        </a:xfrm>
                        <a:prstGeom prst="rect"/>
                        <a:solidFill>
                          <a:srgbClr val="FFFFFF">
                            <a:alpha val="0"/>
                          </a:srgbClr>
                        </a:solidFill>
                        <a:ln w="19050">
                          <a:solidFill>
                            <a:srgbClr val="FFFFFF"/>
                          </a:solidFill>
                        </a:ln>
                      </wps:spPr>
                      <wps:txbx>
                        <w:txbxContent>
                          <w:p>
                            <w:pPr>
                              <w:pStyle w:val="Normal"/>
                              <w:tabs>
                                <w:tab w:val="clear" w:pos="720"/>
                                <w:tab w:val="center" w:pos="4680" w:leader="none"/>
                              </w:tabs>
                              <w:suppressAutoHyphens w:val="true"/>
                              <w:jc w:val="center"/>
                              <w:rPr>
                                <w:b/>
                                <w:bCs/>
                                <w:position w:val="-40"/>
                                <w:sz w:val="32"/>
                                <w:szCs w:val="32"/>
                              </w:rPr>
                            </w:pPr>
                            <w:bookmarkStart w:id="0" w:name="zbkMemoHeading"/>
                            <w:bookmarkEnd w:id="0"/>
                            <w:r>
                              <w:rPr>
                                <w:b/>
                                <w:bCs/>
                                <w:position w:val="-40"/>
                                <w:sz w:val="32"/>
                                <w:szCs w:val="32"/>
                              </w:rPr>
                              <w:t xml:space="preserve">ARTER &amp; HADDEN </w:t>
                            </w:r>
                            <w:r>
                              <w:rPr>
                                <w:b/>
                                <w:bCs/>
                                <w:position w:val="-40"/>
                                <w:sz w:val="18"/>
                                <w:szCs w:val="18"/>
                              </w:rPr>
                              <w:t>LLP</w:t>
                            </w:r>
                          </w:p>
                          <w:p>
                            <w:pPr>
                              <w:pStyle w:val="Normal"/>
                              <w:tabs>
                                <w:tab w:val="clear" w:pos="720"/>
                                <w:tab w:val="center" w:pos="2718" w:leader="none"/>
                              </w:tabs>
                              <w:suppressAutoHyphens w:val="true"/>
                              <w:spacing w:before="280" w:after="0"/>
                              <w:jc w:val="center"/>
                              <w:rPr>
                                <w:spacing w:val="50"/>
                                <w:sz w:val="28"/>
                                <w:szCs w:val="28"/>
                                <w:u w:val="single"/>
                              </w:rPr>
                            </w:pPr>
                            <w:r>
                              <w:rPr>
                                <w:b/>
                                <w:bCs/>
                                <w:spacing w:val="50"/>
                                <w:sz w:val="28"/>
                                <w:szCs w:val="28"/>
                                <w:u w:val="single"/>
                              </w:rPr>
                              <w:t>MEMORANDUM</w:t>
                            </w:r>
                          </w:p>
                        </w:txbxContent>
                      </wps:txbx>
                      <wps:bodyPr anchor="t" lIns="50800" tIns="76200" rIns="50800" bIns="76200">
                        <a:noAutofit/>
                      </wps:bodyPr>
                    </wps:wsp>
                  </a:graphicData>
                </a:graphic>
              </wp:anchor>
            </w:drawing>
          </mc:Choice>
          <mc:Fallback>
            <w:pict>
              <v:rect fillcolor="#FFFFFF" strokecolor="#FFFFFF" strokeweight="1pt" style="position:absolute;rotation:-0;width:323.55pt;height:86.6pt;mso-wrap-distance-left:12.25pt;mso-wrap-distance-right:12.25pt;mso-wrap-distance-top:12.25pt;mso-wrap-distance-bottom:12.25pt;margin-top:-28.95pt;mso-position-vertical-relative:text;margin-left:148.5pt;mso-position-horizontal-relative:page">
                <v:fill opacity="0f"/>
                <v:textbox inset="0.0555555555555556in,0.0833333333333333in,0.0555555555555556in,0.0833333333333333in">
                  <w:txbxContent>
                    <w:p>
                      <w:pPr>
                        <w:pStyle w:val="Normal"/>
                        <w:tabs>
                          <w:tab w:val="clear" w:pos="720"/>
                          <w:tab w:val="center" w:pos="4680" w:leader="none"/>
                        </w:tabs>
                        <w:suppressAutoHyphens w:val="true"/>
                        <w:jc w:val="center"/>
                        <w:rPr>
                          <w:b/>
                          <w:bCs/>
                          <w:position w:val="-40"/>
                          <w:sz w:val="32"/>
                          <w:szCs w:val="32"/>
                        </w:rPr>
                      </w:pPr>
                      <w:bookmarkStart w:id="1" w:name="zbkMemoHeading"/>
                      <w:bookmarkEnd w:id="1"/>
                      <w:r>
                        <w:rPr>
                          <w:b/>
                          <w:bCs/>
                          <w:position w:val="-40"/>
                          <w:sz w:val="32"/>
                          <w:szCs w:val="32"/>
                        </w:rPr>
                        <w:t xml:space="preserve">ARTER &amp; HADDEN </w:t>
                      </w:r>
                      <w:r>
                        <w:rPr>
                          <w:b/>
                          <w:bCs/>
                          <w:position w:val="-40"/>
                          <w:sz w:val="18"/>
                          <w:szCs w:val="18"/>
                        </w:rPr>
                        <w:t>LLP</w:t>
                      </w:r>
                    </w:p>
                    <w:p>
                      <w:pPr>
                        <w:pStyle w:val="Normal"/>
                        <w:tabs>
                          <w:tab w:val="clear" w:pos="720"/>
                          <w:tab w:val="center" w:pos="2718" w:leader="none"/>
                        </w:tabs>
                        <w:suppressAutoHyphens w:val="true"/>
                        <w:spacing w:before="280" w:after="0"/>
                        <w:jc w:val="center"/>
                        <w:rPr>
                          <w:spacing w:val="50"/>
                          <w:sz w:val="28"/>
                          <w:szCs w:val="28"/>
                          <w:u w:val="single"/>
                        </w:rPr>
                      </w:pPr>
                      <w:r>
                        <w:rPr>
                          <w:b/>
                          <w:bCs/>
                          <w:spacing w:val="50"/>
                          <w:sz w:val="28"/>
                          <w:szCs w:val="28"/>
                          <w:u w:val="single"/>
                        </w:rPr>
                        <w:t>MEMORANDUM</w:t>
                      </w:r>
                    </w:p>
                  </w:txbxContent>
                </v:textbox>
                <w10:wrap type="square"/>
              </v:rect>
            </w:pict>
          </mc:Fallback>
        </mc:AlternateContent>
      </w:r>
    </w:p>
    <w:tbl>
      <w:tblPr>
        <w:tblW w:w="9570" w:type="dxa"/>
        <w:jc w:val="start"/>
        <w:tblInd w:w="0" w:type="dxa"/>
        <w:tblLayout w:type="fixed"/>
        <w:tblCellMar>
          <w:top w:w="0" w:type="dxa"/>
          <w:start w:w="120" w:type="dxa"/>
          <w:bottom w:w="0" w:type="dxa"/>
          <w:end w:w="120" w:type="dxa"/>
        </w:tblCellMar>
      </w:tblPr>
      <w:tblGrid>
        <w:gridCol w:w="1470"/>
        <w:gridCol w:w="8100"/>
      </w:tblGrid>
      <w:tr>
        <w:trPr/>
        <w:tc>
          <w:tcPr>
            <w:tcW w:w="9570" w:type="dxa"/>
            <w:gridSpan w:val="2"/>
            <w:tcBorders/>
          </w:tcPr>
          <w:p>
            <w:pPr>
              <w:pStyle w:val="Normal"/>
              <w:tabs>
                <w:tab w:val="clear" w:pos="720"/>
                <w:tab w:val="left" w:pos="-720" w:leader="none"/>
              </w:tabs>
              <w:suppressAutoHyphens w:val="true"/>
              <w:spacing w:before="66" w:after="112"/>
              <w:jc w:val="center"/>
              <w:rPr>
                <w:color w:val="000000"/>
                <w:sz w:val="22"/>
                <w:szCs w:val="22"/>
              </w:rPr>
            </w:pPr>
            <w:r>
              <w:rPr>
                <w:b/>
                <w:bCs/>
                <w:color w:val="000000"/>
                <w:sz w:val="22"/>
                <w:szCs w:val="22"/>
                <w:u w:val="single"/>
              </w:rPr>
              <w:t>PRIVILEGED &amp; CONFIDENTIAL</w:t>
            </w:r>
            <w:r>
              <w:rPr>
                <w:color w:val="000000"/>
                <w:sz w:val="22"/>
                <w:szCs w:val="22"/>
              </w:rPr>
              <w:br/>
            </w:r>
            <w:r>
              <w:rPr>
                <w:b/>
                <w:bCs/>
                <w:color w:val="000000"/>
                <w:sz w:val="22"/>
                <w:szCs w:val="22"/>
                <w:u w:val="single"/>
              </w:rPr>
              <w:t>ATTORNEY-CLIENT</w:t>
            </w:r>
            <w:r>
              <w:rPr>
                <w:color w:val="000000"/>
                <w:sz w:val="22"/>
                <w:szCs w:val="22"/>
              </w:rPr>
              <w:br/>
            </w:r>
            <w:r>
              <w:rPr>
                <w:b/>
                <w:bCs/>
                <w:color w:val="000000"/>
                <w:sz w:val="22"/>
                <w:szCs w:val="22"/>
                <w:u w:val="single"/>
              </w:rPr>
              <w:t>PRIVILEGED COMMUNICATION</w:t>
            </w:r>
            <w:bookmarkStart w:id="2" w:name="bkClause"/>
            <w:bookmarkEnd w:id="2"/>
          </w:p>
        </w:tc>
      </w:tr>
      <w:tr>
        <w:trPr/>
        <w:tc>
          <w:tcPr>
            <w:tcW w:w="1470" w:type="dxa"/>
            <w:tcBorders/>
          </w:tcPr>
          <w:p>
            <w:pPr>
              <w:pStyle w:val="Normal"/>
              <w:tabs>
                <w:tab w:val="clear" w:pos="720"/>
                <w:tab w:val="left" w:pos="-720" w:leader="none"/>
              </w:tabs>
              <w:suppressAutoHyphens w:val="true"/>
              <w:spacing w:before="66" w:after="112"/>
              <w:ind w:start="-144" w:end="0"/>
              <w:rPr>
                <w:rStyle w:val="zMemoHdg"/>
                <w:b/>
                <w:bCs/>
                <w:spacing w:val="-3"/>
              </w:rPr>
            </w:pPr>
            <w:r>
              <w:rPr>
                <w:rStyle w:val="zMemoHdg"/>
                <w:spacing w:val="-3"/>
              </w:rPr>
              <w:t>TO:</w:t>
            </w:r>
          </w:p>
        </w:tc>
        <w:tc>
          <w:tcPr>
            <w:tcW w:w="8100" w:type="dxa"/>
            <w:tcBorders/>
          </w:tcPr>
          <w:p>
            <w:pPr>
              <w:pStyle w:val="zMemoInfo"/>
              <w:suppressAutoHyphens w:val="true"/>
              <w:spacing w:before="66" w:after="112"/>
              <w:jc w:val="start"/>
              <w:rPr/>
            </w:pPr>
            <w:bookmarkStart w:id="3" w:name="bkTo"/>
            <w:bookmarkEnd w:id="3"/>
            <w:r>
              <w:rPr/>
              <w:t>WPTF Board of Directors</w:t>
              <w:br/>
              <w:t>Gary Ackerman</w:t>
            </w:r>
          </w:p>
        </w:tc>
      </w:tr>
      <w:tr>
        <w:trPr/>
        <w:tc>
          <w:tcPr>
            <w:tcW w:w="1470" w:type="dxa"/>
            <w:tcBorders/>
          </w:tcPr>
          <w:p>
            <w:pPr>
              <w:pStyle w:val="Normal"/>
              <w:tabs>
                <w:tab w:val="clear" w:pos="720"/>
                <w:tab w:val="left" w:pos="-720" w:leader="none"/>
              </w:tabs>
              <w:suppressAutoHyphens w:val="true"/>
              <w:spacing w:before="66" w:after="112"/>
              <w:ind w:start="-144" w:end="0"/>
              <w:rPr>
                <w:rStyle w:val="zMemoHdg"/>
                <w:b/>
                <w:bCs/>
                <w:spacing w:val="-3"/>
              </w:rPr>
            </w:pPr>
            <w:r>
              <w:rPr>
                <w:rStyle w:val="zMemoHdg"/>
                <w:spacing w:val="-3"/>
              </w:rPr>
              <w:t>FROM:</w:t>
            </w:r>
          </w:p>
        </w:tc>
        <w:tc>
          <w:tcPr>
            <w:tcW w:w="8100" w:type="dxa"/>
            <w:tcBorders/>
          </w:tcPr>
          <w:p>
            <w:pPr>
              <w:pStyle w:val="zMemoInfo"/>
              <w:suppressAutoHyphens w:val="true"/>
              <w:spacing w:before="66" w:after="112"/>
              <w:jc w:val="start"/>
              <w:rPr/>
            </w:pPr>
            <w:bookmarkStart w:id="4" w:name="bkFrom"/>
            <w:bookmarkEnd w:id="4"/>
            <w:r>
              <w:rPr/>
              <w:t>Daniel W. Douglass</w:t>
            </w:r>
          </w:p>
        </w:tc>
      </w:tr>
      <w:tr>
        <w:trPr/>
        <w:tc>
          <w:tcPr>
            <w:tcW w:w="1470" w:type="dxa"/>
            <w:tcBorders/>
          </w:tcPr>
          <w:p>
            <w:pPr>
              <w:pStyle w:val="Normal"/>
              <w:tabs>
                <w:tab w:val="clear" w:pos="720"/>
                <w:tab w:val="left" w:pos="-720" w:leader="none"/>
              </w:tabs>
              <w:suppressAutoHyphens w:val="true"/>
              <w:spacing w:before="66" w:after="112"/>
              <w:ind w:start="-144" w:end="0"/>
              <w:rPr/>
            </w:pPr>
            <w:r>
              <w:rPr>
                <w:rStyle w:val="zMemoHdg"/>
                <w:spacing w:val="-3"/>
              </w:rPr>
              <w:t>DATE:</w:t>
            </w:r>
          </w:p>
        </w:tc>
        <w:tc>
          <w:tcPr>
            <w:tcW w:w="8100" w:type="dxa"/>
            <w:tcBorders/>
          </w:tcPr>
          <w:p>
            <w:pPr>
              <w:pStyle w:val="zMemoInfo"/>
              <w:suppressAutoHyphens w:val="true"/>
              <w:spacing w:before="66" w:after="112"/>
              <w:jc w:val="start"/>
              <w:rPr>
                <w:spacing w:val="-3"/>
              </w:rPr>
            </w:pPr>
            <w:bookmarkStart w:id="5" w:name="bkDate"/>
            <w:r>
              <w:rPr/>
              <w:t xml:space="preserve">August 24, 2000 </w:t>
            </w:r>
            <w:bookmarkEnd w:id="5"/>
          </w:p>
        </w:tc>
      </w:tr>
      <w:tr>
        <w:trPr/>
        <w:tc>
          <w:tcPr>
            <w:tcW w:w="1470" w:type="dxa"/>
            <w:tcBorders/>
          </w:tcPr>
          <w:p>
            <w:pPr>
              <w:pStyle w:val="Normal"/>
              <w:tabs>
                <w:tab w:val="clear" w:pos="720"/>
                <w:tab w:val="left" w:pos="-720" w:leader="none"/>
              </w:tabs>
              <w:suppressAutoHyphens w:val="true"/>
              <w:spacing w:before="66" w:after="112"/>
              <w:ind w:start="-144" w:end="0"/>
              <w:rPr/>
            </w:pPr>
            <w:r>
              <w:rPr>
                <w:rStyle w:val="zMemoHdg"/>
                <w:spacing w:val="-3"/>
              </w:rPr>
              <w:t>CLIENT NO.:</w:t>
            </w:r>
          </w:p>
        </w:tc>
        <w:tc>
          <w:tcPr>
            <w:tcW w:w="8100" w:type="dxa"/>
            <w:tcBorders/>
          </w:tcPr>
          <w:p>
            <w:pPr>
              <w:pStyle w:val="zMemoInfo"/>
              <w:suppressAutoHyphens w:val="true"/>
              <w:spacing w:before="66" w:after="112"/>
              <w:jc w:val="start"/>
              <w:rPr/>
            </w:pPr>
            <w:bookmarkStart w:id="6" w:name="bkFileNo"/>
            <w:bookmarkEnd w:id="6"/>
            <w:r>
              <w:rPr/>
              <w:t>69738/00000</w:t>
            </w:r>
          </w:p>
        </w:tc>
      </w:tr>
      <w:tr>
        <w:trPr/>
        <w:tc>
          <w:tcPr>
            <w:tcW w:w="1470" w:type="dxa"/>
            <w:tcBorders/>
          </w:tcPr>
          <w:p>
            <w:pPr>
              <w:pStyle w:val="Normal"/>
              <w:tabs>
                <w:tab w:val="clear" w:pos="720"/>
                <w:tab w:val="left" w:pos="-720" w:leader="none"/>
              </w:tabs>
              <w:suppressAutoHyphens w:val="true"/>
              <w:spacing w:before="66" w:after="112"/>
              <w:ind w:start="-144" w:end="0"/>
              <w:rPr>
                <w:rStyle w:val="zMemoHdg"/>
                <w:b/>
                <w:bCs/>
                <w:spacing w:val="-3"/>
              </w:rPr>
            </w:pPr>
            <w:r>
              <w:rPr>
                <w:rStyle w:val="zMemoHdg"/>
                <w:spacing w:val="-3"/>
              </w:rPr>
              <w:t>RE:</w:t>
            </w:r>
          </w:p>
        </w:tc>
        <w:tc>
          <w:tcPr>
            <w:tcW w:w="8100" w:type="dxa"/>
            <w:tcBorders/>
          </w:tcPr>
          <w:p>
            <w:pPr>
              <w:pStyle w:val="zMemoInfo"/>
              <w:suppressAutoHyphens w:val="true"/>
              <w:spacing w:before="66" w:after="112"/>
              <w:jc w:val="start"/>
              <w:rPr/>
            </w:pPr>
            <w:bookmarkStart w:id="7" w:name="bkRe"/>
            <w:bookmarkEnd w:id="7"/>
            <w:r>
              <w:rPr/>
              <w:t>FERC Order Commences Investigation Into Wholesale Market</w:t>
            </w:r>
          </w:p>
        </w:tc>
      </w:tr>
      <w:tr>
        <w:trPr/>
        <w:tc>
          <w:tcPr>
            <w:tcW w:w="1470" w:type="dxa"/>
            <w:tcBorders/>
          </w:tcPr>
          <w:p>
            <w:pPr>
              <w:pStyle w:val="Normal"/>
              <w:tabs>
                <w:tab w:val="clear" w:pos="720"/>
                <w:tab w:val="left" w:pos="-720" w:leader="none"/>
              </w:tabs>
              <w:suppressAutoHyphens w:val="true"/>
              <w:spacing w:before="66" w:after="112"/>
              <w:ind w:start="-144" w:end="0"/>
              <w:rPr/>
            </w:pPr>
            <w:r>
              <w:rPr>
                <w:rStyle w:val="zMemoHdg"/>
                <w:spacing w:val="-3"/>
              </w:rPr>
              <w:t>SUBJECT:</w:t>
            </w:r>
          </w:p>
        </w:tc>
        <w:tc>
          <w:tcPr>
            <w:tcW w:w="8100" w:type="dxa"/>
            <w:tcBorders/>
          </w:tcPr>
          <w:p>
            <w:pPr>
              <w:pStyle w:val="zMemoInfo"/>
              <w:suppressAutoHyphens w:val="true"/>
              <w:spacing w:before="66" w:after="112"/>
              <w:jc w:val="start"/>
              <w:rPr/>
            </w:pPr>
            <w:bookmarkStart w:id="8" w:name="bkSubj"/>
            <w:bookmarkEnd w:id="8"/>
            <w:r>
              <w:rPr/>
              <w:t>Summary of Order</w:t>
            </w:r>
          </w:p>
        </w:tc>
      </w:tr>
      <w:tr>
        <w:trPr>
          <w:trHeight w:val="240" w:hRule="exact"/>
        </w:trPr>
        <w:tc>
          <w:tcPr>
            <w:tcW w:w="1470" w:type="dxa"/>
            <w:tcBorders>
              <w:bottom w:val="double" w:sz="6" w:space="0" w:color="000000"/>
            </w:tcBorders>
          </w:tcPr>
          <w:p>
            <w:pPr>
              <w:pStyle w:val="Normal"/>
              <w:tabs>
                <w:tab w:val="clear" w:pos="720"/>
                <w:tab w:val="left" w:pos="-720" w:leader="none"/>
              </w:tabs>
              <w:suppressAutoHyphens w:val="true"/>
              <w:snapToGrid w:val="false"/>
              <w:spacing w:before="66" w:after="112"/>
              <w:rPr>
                <w:rStyle w:val="zMemoHdg"/>
                <w:spacing w:val="-3"/>
              </w:rPr>
            </w:pPr>
            <w:r>
              <w:rPr>
                <w:color w:val="000000"/>
                <w:spacing w:val="-3"/>
              </w:rPr>
            </w:r>
          </w:p>
        </w:tc>
        <w:tc>
          <w:tcPr>
            <w:tcW w:w="8100" w:type="dxa"/>
            <w:tcBorders>
              <w:bottom w:val="double" w:sz="6" w:space="0" w:color="000000"/>
            </w:tcBorders>
          </w:tcPr>
          <w:p>
            <w:pPr>
              <w:pStyle w:val="Normal"/>
              <w:tabs>
                <w:tab w:val="clear" w:pos="720"/>
                <w:tab w:val="left" w:pos="-720" w:leader="none"/>
              </w:tabs>
              <w:suppressAutoHyphens w:val="true"/>
              <w:snapToGrid w:val="false"/>
              <w:spacing w:before="66" w:after="112"/>
              <w:rPr>
                <w:rStyle w:val="zMemoHdg"/>
                <w:color w:val="000000"/>
                <w:spacing w:val="-3"/>
              </w:rPr>
            </w:pPr>
            <w:r>
              <w:rPr/>
            </w:r>
          </w:p>
        </w:tc>
      </w:tr>
    </w:tbl>
    <w:p>
      <w:pPr>
        <w:pStyle w:val="Normal"/>
        <w:tabs>
          <w:tab w:val="clear" w:pos="720"/>
          <w:tab w:val="left" w:pos="-720" w:leader="none"/>
        </w:tabs>
        <w:suppressAutoHyphens w:val="true"/>
        <w:rPr>
          <w:color w:val="000000"/>
          <w:spacing w:val="-3"/>
        </w:rPr>
      </w:pPr>
      <w:r>
        <w:rPr>
          <w:color w:val="000000"/>
          <w:spacing w:val="-3"/>
        </w:rPr>
      </w:r>
    </w:p>
    <w:p>
      <w:pPr>
        <w:pStyle w:val="Normal"/>
        <w:ind w:firstLine="720" w:end="0"/>
        <w:rPr/>
      </w:pPr>
      <w:bookmarkStart w:id="9" w:name="bkStart"/>
      <w:bookmarkEnd w:id="9"/>
      <w:r>
        <w:rPr/>
        <w:t>On August 23, the FERC issued a rather wordily-titled, “</w:t>
      </w:r>
      <w:r>
        <w:rPr>
          <w:sz w:val="26"/>
          <w:szCs w:val="26"/>
        </w:rPr>
        <w:t>Order Initiating Hearing Proceedings To Investigate Justness And Reasonableness Of Rates Of Public Utility Sellers In California ISO And PX Markets And To Investigate ISO And PX Tariffs, Contracts, Institutional Structures And Bylaws; And Providing Further Guidance To California Entities.</w:t>
      </w:r>
      <w:r>
        <w:rPr/>
        <w:t>”  The purpose of this memorandum is to provide a summary of that Order.  Where appropriate, direct quotations are provided to give you the flavor of the Commission’s thinking.</w:t>
      </w:r>
    </w:p>
    <w:p>
      <w:pPr>
        <w:pStyle w:val="Normal"/>
        <w:ind w:firstLine="720" w:end="0"/>
        <w:rPr/>
      </w:pPr>
      <w:r>
        <w:rPr/>
      </w:r>
    </w:p>
    <w:p>
      <w:pPr>
        <w:pStyle w:val="Normal"/>
        <w:ind w:firstLine="720" w:end="0"/>
        <w:rPr>
          <w:sz w:val="26"/>
          <w:szCs w:val="26"/>
        </w:rPr>
      </w:pPr>
      <w:r>
        <w:rPr>
          <w:b/>
          <w:bCs/>
          <w:sz w:val="26"/>
          <w:szCs w:val="26"/>
          <w:u w:val="single"/>
        </w:rPr>
        <w:t>Summary and Overview</w:t>
      </w:r>
    </w:p>
    <w:p>
      <w:pPr>
        <w:pStyle w:val="Normal"/>
        <w:ind w:firstLine="720" w:end="0"/>
        <w:rPr>
          <w:sz w:val="26"/>
          <w:szCs w:val="26"/>
        </w:rPr>
      </w:pPr>
      <w:r>
        <w:rPr>
          <w:sz w:val="26"/>
          <w:szCs w:val="26"/>
        </w:rPr>
      </w:r>
    </w:p>
    <w:p>
      <w:pPr>
        <w:pStyle w:val="Normal"/>
        <w:ind w:firstLine="720" w:end="0"/>
        <w:rPr>
          <w:sz w:val="26"/>
          <w:szCs w:val="26"/>
        </w:rPr>
      </w:pPr>
      <w:r>
        <w:rPr>
          <w:sz w:val="26"/>
          <w:szCs w:val="26"/>
        </w:rPr>
        <w:t>On August 2, 2000, San Diego Gas &amp; Electric Company (“SDG&amp;E”) filed a complaint pursuant to Rule 206 of the Commission’s Rules of Practice and Procedure asking the Commission for an emergency order capping at $250 per MWh the prices at which sellers may bid energy or ancillary services into the California Independent System Operator (“ISO”) and the California Power Exchange (“PX”).</w:t>
      </w:r>
    </w:p>
    <w:p>
      <w:pPr>
        <w:pStyle w:val="Normal"/>
        <w:ind w:firstLine="720" w:end="0"/>
        <w:rPr>
          <w:sz w:val="26"/>
          <w:szCs w:val="26"/>
        </w:rPr>
      </w:pPr>
      <w:r>
        <w:rPr>
          <w:sz w:val="26"/>
          <w:szCs w:val="26"/>
        </w:rPr>
      </w:r>
    </w:p>
    <w:p>
      <w:pPr>
        <w:pStyle w:val="Normal"/>
        <w:ind w:firstLine="720" w:end="0"/>
        <w:rPr/>
      </w:pPr>
      <w:r>
        <w:rPr>
          <w:sz w:val="26"/>
          <w:szCs w:val="26"/>
        </w:rPr>
        <w:t xml:space="preserve">In this Order, as discussed below, the Commission denies SDG&amp;E’s requested immediate imposition of a price cap on all sellers in California.  However, it notes that the Commission is </w:t>
      </w:r>
      <w:r>
        <w:rPr>
          <w:sz w:val="26"/>
          <w:szCs w:val="26"/>
          <w:u w:val="single"/>
        </w:rPr>
        <w:t>not</w:t>
      </w:r>
      <w:r>
        <w:rPr>
          <w:sz w:val="26"/>
          <w:szCs w:val="26"/>
        </w:rPr>
        <w:t xml:space="preserve"> disturbing the California ISO’s decision to set its purchase price cap at $250/MWh, </w:t>
      </w:r>
      <w:r>
        <w:rPr>
          <w:sz w:val="26"/>
          <w:szCs w:val="26"/>
          <w:u w:val="single"/>
        </w:rPr>
        <w:t>see</w:t>
      </w:r>
      <w:r>
        <w:rPr>
          <w:sz w:val="26"/>
          <w:szCs w:val="26"/>
        </w:rPr>
        <w:t xml:space="preserve">, </w:t>
      </w:r>
      <w:r>
        <w:rPr>
          <w:sz w:val="26"/>
          <w:szCs w:val="26"/>
          <w:u w:val="single"/>
        </w:rPr>
        <w:t>Morgan Stanley Capital Group Inc. v. California</w:t>
      </w:r>
      <w:r>
        <w:rPr>
          <w:sz w:val="26"/>
          <w:szCs w:val="26"/>
        </w:rPr>
        <w:t xml:space="preserve"> </w:t>
      </w:r>
      <w:r>
        <w:rPr>
          <w:sz w:val="26"/>
          <w:szCs w:val="26"/>
          <w:u w:val="single"/>
        </w:rPr>
        <w:t>Independent System Operator Corp.</w:t>
      </w:r>
      <w:r>
        <w:rPr>
          <w:sz w:val="26"/>
          <w:szCs w:val="26"/>
        </w:rPr>
        <w:t xml:space="preserve">, 92 FERC ¶ 61,112 (2000).  In other words, the Commission reiterates that it is not adverse to the ISO saying how much it is willing to pay, but that it continues to be resistant to directing what prices sellers may charge. </w:t>
      </w:r>
    </w:p>
    <w:p>
      <w:pPr>
        <w:pStyle w:val="Normal"/>
        <w:ind w:firstLine="720" w:end="0"/>
        <w:rPr>
          <w:sz w:val="26"/>
          <w:szCs w:val="26"/>
        </w:rPr>
      </w:pPr>
      <w:r>
        <w:rPr>
          <w:sz w:val="26"/>
          <w:szCs w:val="26"/>
        </w:rPr>
      </w:r>
    </w:p>
    <w:p>
      <w:pPr>
        <w:pStyle w:val="Normal"/>
        <w:spacing w:before="0" w:after="240"/>
        <w:ind w:firstLine="720" w:end="0"/>
        <w:rPr>
          <w:sz w:val="26"/>
          <w:szCs w:val="26"/>
        </w:rPr>
      </w:pPr>
      <w:r>
        <w:rPr>
          <w:sz w:val="26"/>
          <w:szCs w:val="26"/>
        </w:rPr>
        <w:t xml:space="preserve">However, the Commission announces that it is instituting a consolidated hearing proceeding pursuant to section 206 of the Federal Power Act to investigate, “the justness and reasonableness of the rates and charges of public utilities that sell energy and ancillary services to or through the California ISO and PX, and to also investigate whether the tariffs and institutional structures and bylaws of the California ISO and PX are adversely affecting the efficient operation of competitive wholesale electric power markets in California and need to be modified.”  </w:t>
      </w:r>
    </w:p>
    <w:p>
      <w:pPr>
        <w:pStyle w:val="Normal"/>
        <w:ind w:firstLine="720" w:end="0"/>
        <w:rPr>
          <w:sz w:val="26"/>
          <w:szCs w:val="26"/>
        </w:rPr>
      </w:pPr>
      <w:r>
        <w:rPr>
          <w:sz w:val="26"/>
          <w:szCs w:val="26"/>
        </w:rPr>
        <w:t>The Commission states that, “Our goal in these proceedings is to detect and, to the extent within our jurisdiction, to resolve as expeditiously as possible, any defects in the operation of competitive power markets in California.”  The Commission will also take up these issues, “to the extent they are present in any RTO proposal that is filed on January 16, 2001, pursuant to Order No. 2000.”</w:t>
      </w:r>
    </w:p>
    <w:p>
      <w:pPr>
        <w:pStyle w:val="Normal"/>
        <w:ind w:firstLine="720" w:end="0"/>
        <w:rPr>
          <w:sz w:val="26"/>
          <w:szCs w:val="26"/>
        </w:rPr>
      </w:pPr>
      <w:r>
        <w:rPr>
          <w:sz w:val="26"/>
          <w:szCs w:val="26"/>
        </w:rPr>
      </w:r>
    </w:p>
    <w:p>
      <w:pPr>
        <w:pStyle w:val="Normal"/>
        <w:ind w:firstLine="720" w:end="0"/>
        <w:rPr>
          <w:sz w:val="26"/>
          <w:szCs w:val="26"/>
        </w:rPr>
      </w:pPr>
      <w:r>
        <w:rPr>
          <w:sz w:val="26"/>
          <w:szCs w:val="26"/>
        </w:rPr>
        <w:t>Commissioner Massey filed a dissent saying that he would, “grant the relief requested in the complaint and would cap bids into the California ISO and PX markets at $250/Mwh as a temporary stopgap measure pending the outcome of the section 206 investigation.”  Massey reiterates the arguments in the SDG&amp;E complaint to the effect that the market is in disarray and that there is a “crisis of confidence” in the state with regard to wholesale markets.  Commissioner Hebert issued a concurrence saying that the Commission should not have established a refund date at all, or in the alternative, have elected the latest date possible.  He also states that, “Consumers are best served by regulatory policies that promote market entry and ensure that electricity supply will be available to meet demand….In the long-term, however, electricity consumers can be assured of low prices and reliable service only if entrepreneurs have the motivation to build plants and string wires.”</w:t>
      </w:r>
    </w:p>
    <w:p>
      <w:pPr>
        <w:pStyle w:val="Normal"/>
        <w:ind w:firstLine="720" w:end="0"/>
        <w:rPr>
          <w:sz w:val="26"/>
          <w:szCs w:val="26"/>
        </w:rPr>
      </w:pPr>
      <w:r>
        <w:rPr>
          <w:sz w:val="26"/>
          <w:szCs w:val="26"/>
        </w:rPr>
      </w:r>
    </w:p>
    <w:p>
      <w:pPr>
        <w:pStyle w:val="Normal"/>
        <w:spacing w:before="0" w:after="240"/>
        <w:ind w:firstLine="720" w:end="0"/>
        <w:rPr>
          <w:sz w:val="26"/>
          <w:szCs w:val="26"/>
        </w:rPr>
      </w:pPr>
      <w:r>
        <w:rPr>
          <w:b/>
          <w:bCs/>
          <w:sz w:val="26"/>
          <w:szCs w:val="26"/>
          <w:u w:val="single"/>
        </w:rPr>
        <w:t>Procedural Considerations</w:t>
      </w:r>
    </w:p>
    <w:p>
      <w:pPr>
        <w:pStyle w:val="Normal"/>
        <w:spacing w:before="0" w:after="240"/>
        <w:ind w:firstLine="720" w:end="0"/>
        <w:rPr>
          <w:sz w:val="26"/>
          <w:szCs w:val="26"/>
        </w:rPr>
      </w:pPr>
      <w:r>
        <w:rPr>
          <w:sz w:val="26"/>
          <w:szCs w:val="26"/>
        </w:rPr>
        <w:t xml:space="preserve">There are two separate dockets here.  Docket No. EL00-95-000 is the original SDG&amp;E complaint docket and EL00-98-000 is the Commission’s previously announced investigation of the practices of the ISO and PX.  The Order rules that the two dockets raise common issues of law and fact and are therefore consolidated for purposes of hearing and decision.  Any party who has moved to intervene in Docket No. EL00-95-000, such as WPTF, will be considered to be a party to the consolidated proceeding.  </w:t>
      </w:r>
    </w:p>
    <w:p>
      <w:pPr>
        <w:pStyle w:val="Normal"/>
        <w:spacing w:before="0" w:after="240"/>
        <w:ind w:firstLine="720" w:end="0"/>
        <w:rPr/>
      </w:pPr>
      <w:r>
        <w:rPr>
          <w:sz w:val="26"/>
          <w:szCs w:val="26"/>
        </w:rPr>
        <w:t xml:space="preserve">Hearings under section 206 may take the form of a proceeding before an administrative law judge or a hearing directly before the Commission.  A hearing before the Commission </w:t>
      </w:r>
      <w:r>
        <w:rPr>
          <w:sz w:val="26"/>
          <w:szCs w:val="26"/>
          <w:u w:val="single"/>
        </w:rPr>
        <w:t>may</w:t>
      </w:r>
      <w:r>
        <w:rPr>
          <w:sz w:val="26"/>
          <w:szCs w:val="26"/>
        </w:rPr>
        <w:t xml:space="preserve"> include written and/or oral presentation of evidence and arguments.  However, this Order does not determine which type of proceeding will be required, which will be the subject of a future order.</w:t>
      </w:r>
    </w:p>
    <w:p>
      <w:pPr>
        <w:pStyle w:val="Normal"/>
        <w:spacing w:before="0" w:after="240"/>
        <w:ind w:firstLine="720" w:end="0"/>
        <w:rPr>
          <w:sz w:val="26"/>
          <w:szCs w:val="26"/>
        </w:rPr>
      </w:pPr>
      <w:r>
        <w:rPr>
          <w:sz w:val="26"/>
          <w:szCs w:val="26"/>
        </w:rPr>
        <w:t>The Order notes that many of the same issues raised here are also the subject of the fact finding staff investigation ordered by the Commission on July 26, 2000.  The Commission intends to, “issue a further order after the Commission reviews the outcome of the staff investigation related to California markets to take into account the staff investigation findings, as appropriate, and to address or further refine the issues set for hearing herein, as appropriate.”</w:t>
      </w:r>
    </w:p>
    <w:p>
      <w:pPr>
        <w:pStyle w:val="Normal"/>
        <w:spacing w:before="0" w:after="240"/>
        <w:ind w:firstLine="720" w:end="0"/>
        <w:rPr>
          <w:sz w:val="26"/>
          <w:szCs w:val="26"/>
        </w:rPr>
      </w:pPr>
      <w:r>
        <w:rPr>
          <w:sz w:val="26"/>
          <w:szCs w:val="26"/>
        </w:rPr>
        <w:t xml:space="preserve">The section 206 proceeding the Commission is initiating here differs from a staff investigation in several respects.  A section 206 investigation initiates a formal evidentiary process where all interested parties have the opportunity to present evidence and arguments before the Commission.   In addition, it provides a statutory mechanism for the Commission to exercise its powers to change the rates, terms and conditions of jurisdictional services that are determined to be unjust, unreasonable, unduly discriminatory or preferential and, if appropriate, to order refunds.  By establishing this proceeding, the Commission ensures that its authority to issue remedies under Section 206 will be available, as permitted under the Federal Power Act. </w:t>
      </w:r>
    </w:p>
    <w:p>
      <w:pPr>
        <w:pStyle w:val="Normal"/>
        <w:spacing w:before="0" w:after="240"/>
        <w:ind w:firstLine="720" w:end="0"/>
        <w:rPr>
          <w:b/>
          <w:bCs/>
          <w:sz w:val="26"/>
          <w:szCs w:val="26"/>
          <w:u w:val="single"/>
        </w:rPr>
      </w:pPr>
      <w:r>
        <w:rPr>
          <w:b/>
          <w:bCs/>
          <w:sz w:val="26"/>
          <w:szCs w:val="26"/>
          <w:u w:val="single"/>
        </w:rPr>
        <w:t>SDG&amp;E Complaint</w:t>
      </w:r>
    </w:p>
    <w:p>
      <w:pPr>
        <w:pStyle w:val="Normal"/>
        <w:ind w:firstLine="720" w:end="0"/>
        <w:rPr>
          <w:sz w:val="26"/>
          <w:szCs w:val="26"/>
        </w:rPr>
      </w:pPr>
      <w:r>
        <w:rPr>
          <w:sz w:val="26"/>
          <w:szCs w:val="26"/>
        </w:rPr>
        <w:t>The Order summarizes the SDG&amp;E complaint that wholesale electric prices in California have at times exceeded, often by a multiple of three or four, prices seen at comparable load levels in prior years.  The utility pointed out that the PX day-ahead price for Southern California never exceeded $250 in June and July of 1999, but equaled or exceeded that level in 167 hours in 2000. SDG&amp;E contended that the energy and ancillary services markets in California are not workably competitive, at least when state-wide demand reaches 33,000 MW, and at such demand levels, wholesale prices are no longer reasonable.  The utility alleged that this was due to “dysfunctional” wholesale markets.  The utility also argued that, “although the Commission did not design California’s market, it has a statutory responsibility to lead the effort to fix the problems and protect consumers in the interim until reforms are in place.”  The utility concluded its complaint by stating that, “…until the Commission finds that the bulk power markets for energy and ancillary services in California are workably competitive,” sellers should not be permitted to submit a bid of more than $250 per MWh to supply energy or ancillary services into ISO or PX markets.  The Order notes that the CPUC, TURN, PG&amp;E and Edison all filed in support, while answers in opposition were filed by many of our members and by WPTF itself.  As you may be aware, the ISO also filed a motion to intervene, requesting summary rejection of the complaint, while the PX filed a motion to intervene with comments noting the existence of its hedging products and disputing that the separation of the ISO and PX is a fundamental impediment to competition.</w:t>
      </w:r>
    </w:p>
    <w:p>
      <w:pPr>
        <w:pStyle w:val="Normal"/>
        <w:ind w:firstLine="720" w:end="0"/>
        <w:rPr>
          <w:sz w:val="26"/>
          <w:szCs w:val="26"/>
        </w:rPr>
      </w:pPr>
      <w:r>
        <w:rPr>
          <w:sz w:val="26"/>
          <w:szCs w:val="26"/>
        </w:rPr>
      </w:r>
    </w:p>
    <w:p>
      <w:pPr>
        <w:pStyle w:val="Normal"/>
        <w:ind w:firstLine="720" w:end="0"/>
        <w:rPr>
          <w:b/>
          <w:bCs/>
          <w:sz w:val="26"/>
          <w:szCs w:val="26"/>
          <w:u w:val="single"/>
        </w:rPr>
      </w:pPr>
      <w:r>
        <w:rPr>
          <w:b/>
          <w:bCs/>
          <w:sz w:val="26"/>
          <w:szCs w:val="26"/>
          <w:u w:val="single"/>
        </w:rPr>
        <w:t>The Commission’s Response to the Complaint</w:t>
      </w:r>
    </w:p>
    <w:p>
      <w:pPr>
        <w:pStyle w:val="Normal"/>
        <w:ind w:firstLine="720" w:end="0"/>
        <w:rPr>
          <w:b/>
          <w:bCs/>
          <w:sz w:val="26"/>
          <w:szCs w:val="26"/>
          <w:u w:val="single"/>
        </w:rPr>
      </w:pPr>
      <w:r>
        <w:rPr>
          <w:b/>
          <w:bCs/>
          <w:sz w:val="26"/>
          <w:szCs w:val="26"/>
          <w:u w:val="single"/>
        </w:rPr>
      </w:r>
    </w:p>
    <w:p>
      <w:pPr>
        <w:pStyle w:val="Normal"/>
        <w:ind w:firstLine="720" w:end="0"/>
        <w:rPr/>
      </w:pPr>
      <w:r>
        <w:rPr>
          <w:sz w:val="26"/>
          <w:szCs w:val="26"/>
        </w:rPr>
        <w:t>After stating that it is very concerned about recent high prices in San Diego, the Commission notes that, “a number of factors have interacted to lead to these rate increases, and that many of the factors that contributed to these increases fall within the jurisdiction of state regulators and are not within the jurisdiction of the Commission, including, (1) siting of new generation and transmission facilities, (2) lack of demand-side programs that allow consumers and businesses to receive and respond to price signals, (3) rules under which SDG&amp;E provides retail electric service which limit its actions as a purchaser of wholesale power (</w:t>
      </w:r>
      <w:r>
        <w:rPr>
          <w:sz w:val="26"/>
          <w:szCs w:val="26"/>
          <w:u w:val="single"/>
        </w:rPr>
        <w:t>e</w:t>
      </w:r>
      <w:r>
        <w:rPr>
          <w:sz w:val="26"/>
          <w:szCs w:val="26"/>
        </w:rPr>
        <w:t>.</w:t>
      </w:r>
      <w:r>
        <w:rPr>
          <w:sz w:val="26"/>
          <w:szCs w:val="26"/>
          <w:u w:val="single"/>
        </w:rPr>
        <w:t>g</w:t>
      </w:r>
      <w:r>
        <w:rPr>
          <w:sz w:val="26"/>
          <w:szCs w:val="26"/>
        </w:rPr>
        <w:t>., requirements that SDG&amp;E make all purchases through a single power exchange and restrictions on SDG&amp;E’s ability to enter into wholesale supply or risk management agreements that could protect against excessive volatility in wholesale commodity prices), and (4) retail rate designs that do not offer retail customers of SDG&amp;E the option to arrange for stable, levelized rates.”  In other words, the Commission takes a shot back at the CPUC and the state in general, suggesting that it has contributed to the problem and has options for addressing it.</w:t>
      </w:r>
    </w:p>
    <w:p>
      <w:pPr>
        <w:pStyle w:val="Normal"/>
        <w:rPr>
          <w:sz w:val="26"/>
          <w:szCs w:val="26"/>
        </w:rPr>
      </w:pPr>
      <w:r>
        <w:rPr>
          <w:sz w:val="26"/>
          <w:szCs w:val="26"/>
        </w:rPr>
      </w:r>
    </w:p>
    <w:p>
      <w:pPr>
        <w:pStyle w:val="Normal"/>
        <w:ind w:firstLine="720" w:end="0"/>
        <w:rPr/>
      </w:pPr>
      <w:r>
        <w:rPr>
          <w:sz w:val="26"/>
          <w:szCs w:val="26"/>
        </w:rPr>
        <w:t>The Commission summarizes the current market situation by stating that, “</w:t>
      </w:r>
      <w:r>
        <w:rPr>
          <w:rFonts w:eastAsia="Goudy Old Style" w:cs="Goudy Old Style" w:ascii="Goudy Old Style" w:hAnsi="Goudy Old Style"/>
          <w:sz w:val="26"/>
          <w:szCs w:val="26"/>
        </w:rPr>
        <w:t>there are periods when all generation must be accepted, regardless of the bid price, and sellers may be in a position to act on this knowledge and raise bids above the level that would be expected solely as a result of scarcity.</w:t>
      </w:r>
      <w:r>
        <w:rPr>
          <w:sz w:val="26"/>
          <w:szCs w:val="26"/>
        </w:rPr>
        <w:t>”  Therefore, a formal investigation is called for, “to determine why anomalous prices occur at certain times, whether certain market or institutional factors cause the anomalous prices, and whether the anomalous prices are unjust, unreasonable, unduly discriminatory or preferential.”</w:t>
      </w:r>
    </w:p>
    <w:p>
      <w:pPr>
        <w:pStyle w:val="Normal"/>
        <w:ind w:firstLine="720" w:end="0"/>
        <w:rPr>
          <w:sz w:val="26"/>
          <w:szCs w:val="26"/>
        </w:rPr>
      </w:pPr>
      <w:r>
        <w:rPr>
          <w:sz w:val="26"/>
          <w:szCs w:val="26"/>
        </w:rPr>
      </w:r>
    </w:p>
    <w:p>
      <w:pPr>
        <w:pStyle w:val="Normal"/>
        <w:ind w:firstLine="720" w:end="0"/>
        <w:rPr/>
      </w:pPr>
      <w:r>
        <w:rPr>
          <w:sz w:val="26"/>
          <w:szCs w:val="26"/>
        </w:rPr>
        <w:t xml:space="preserve">The Order states that although the utility’s complaint, “focused on the performance of sellers in the market, the action of sellers may in part be caused by the current market rules and institutional structures.”  Therefore, the investigation will also consider whether the tariffs and agreements of the ISO and PX contain market rules </w:t>
      </w:r>
      <w:r>
        <w:rPr>
          <w:rFonts w:eastAsia="Goudy Old Style" w:cs="Goudy Old Style" w:ascii="Goudy Old Style" w:hAnsi="Goudy Old Style"/>
          <w:sz w:val="26"/>
          <w:szCs w:val="26"/>
        </w:rPr>
        <w:t xml:space="preserve">or institutional factors </w:t>
      </w:r>
      <w:r>
        <w:rPr>
          <w:sz w:val="26"/>
          <w:szCs w:val="26"/>
        </w:rPr>
        <w:t>which need to be modified.  This clearly has the prospect of being a wide-ranging, and therefore time-consuming investigation.  This also offers opportunities for WPTF to submit testimony which would deal with this topic.</w:t>
      </w:r>
    </w:p>
    <w:p>
      <w:pPr>
        <w:pStyle w:val="Normal"/>
        <w:ind w:firstLine="720" w:end="0"/>
        <w:rPr>
          <w:sz w:val="26"/>
          <w:szCs w:val="26"/>
        </w:rPr>
      </w:pPr>
      <w:r>
        <w:rPr>
          <w:sz w:val="26"/>
          <w:szCs w:val="26"/>
        </w:rPr>
      </w:r>
    </w:p>
    <w:p>
      <w:pPr>
        <w:pStyle w:val="Normal"/>
        <w:ind w:firstLine="720" w:end="0"/>
        <w:rPr/>
      </w:pPr>
      <w:r>
        <w:rPr>
          <w:sz w:val="26"/>
          <w:szCs w:val="26"/>
        </w:rPr>
        <w:t>With regard to the complaint itself, the Commission states that, “</w:t>
      </w:r>
      <w:r>
        <w:rPr>
          <w:rFonts w:eastAsia="Goudy Old Style" w:cs="Goudy Old Style" w:ascii="Goudy Old Style" w:hAnsi="Goudy Old Style"/>
          <w:sz w:val="26"/>
          <w:szCs w:val="26"/>
        </w:rPr>
        <w:t>While we find it appropriate to institute a section 206 hearing on these issues, we cannot implement an immediate price cap of $250/MWh as requested by SDG&amp;E because there is no record before us to support such an action.</w:t>
      </w:r>
      <w:r>
        <w:rPr>
          <w:sz w:val="26"/>
          <w:szCs w:val="26"/>
        </w:rPr>
        <w:t>”  Although it has a duty to ensure that rates are just and reasonable, there is no basis to conclude that, “</w:t>
      </w:r>
      <w:r>
        <w:rPr>
          <w:rFonts w:eastAsia="Goudy Old Style" w:cs="Goudy Old Style" w:ascii="Goudy Old Style" w:hAnsi="Goudy Old Style"/>
          <w:sz w:val="26"/>
          <w:szCs w:val="26"/>
        </w:rPr>
        <w:t xml:space="preserve">SDG&amp;E’s proposal to place an immediate, arbitrary $250/MWh cap on the price that every public utility seller of energy and ancillary services may bid into the PX and ISO markets would satisfy this standard.”  The Commission sticks it to SDG&amp;E by stating that, “SDG&amp;E has provided no evidence to demonstrate that all potential sellers are able to exercise market power, has not documented a single instance of a seller exercising market power during times of scarcity, and did not attempt to show that the conditions underlying the Commission’s approval of market-based rates for public utility sellers of energy and ancillary services have changed.  Nor did it address specific market or institutional factors that may be causing rates to be unjust or unreasonable.”  The utility also did not provide any basis for the Commission to evaluate the reliability impacts of adopting a $250/MWh bid cap.  </w:t>
      </w:r>
    </w:p>
    <w:p>
      <w:pPr>
        <w:pStyle w:val="Normal"/>
        <w:rPr>
          <w:rFonts w:ascii="Goudy Old Style" w:hAnsi="Goudy Old Style" w:eastAsia="Goudy Old Style" w:cs="Goudy Old Style"/>
          <w:sz w:val="26"/>
          <w:szCs w:val="26"/>
        </w:rPr>
      </w:pPr>
      <w:r>
        <w:rPr>
          <w:rFonts w:eastAsia="Goudy Old Style" w:cs="Goudy Old Style" w:ascii="Goudy Old Style" w:hAnsi="Goudy Old Style"/>
          <w:sz w:val="26"/>
          <w:szCs w:val="26"/>
        </w:rPr>
      </w:r>
    </w:p>
    <w:p>
      <w:pPr>
        <w:pStyle w:val="Normal"/>
        <w:ind w:firstLine="720" w:end="0"/>
        <w:rPr>
          <w:b/>
          <w:bCs/>
          <w:sz w:val="26"/>
          <w:szCs w:val="26"/>
          <w:u w:val="single"/>
        </w:rPr>
      </w:pPr>
      <w:r>
        <w:rPr>
          <w:b/>
          <w:bCs/>
          <w:sz w:val="26"/>
          <w:szCs w:val="26"/>
          <w:u w:val="single"/>
        </w:rPr>
        <w:t>Congestion Management and Market Redesign</w:t>
      </w:r>
    </w:p>
    <w:p>
      <w:pPr>
        <w:pStyle w:val="Normal"/>
        <w:ind w:firstLine="720" w:end="0"/>
        <w:rPr>
          <w:b/>
          <w:bCs/>
          <w:sz w:val="26"/>
          <w:szCs w:val="26"/>
          <w:u w:val="single"/>
        </w:rPr>
      </w:pPr>
      <w:r>
        <w:rPr>
          <w:b/>
          <w:bCs/>
          <w:sz w:val="26"/>
          <w:szCs w:val="26"/>
          <w:u w:val="single"/>
        </w:rPr>
      </w:r>
    </w:p>
    <w:p>
      <w:pPr>
        <w:pStyle w:val="Normal"/>
        <w:ind w:firstLine="720" w:end="0"/>
        <w:rPr>
          <w:sz w:val="26"/>
          <w:szCs w:val="26"/>
        </w:rPr>
      </w:pPr>
      <w:r>
        <w:rPr>
          <w:sz w:val="26"/>
          <w:szCs w:val="26"/>
        </w:rPr>
        <w:t>SDG&amp;E’ complaint also asserted that, “the ISO’s congestion management and market structures are flawed and in need of overhaul,” and expressed concern that the congestion management and market reform efforts being pursued by ISO stakeholders would not produce meaningful results.  In response, the Commission agreed with various intervenors that SDG&amp;E overstated its criticism and that the stakeholder process should be allowed time to work.  The Commission therefore will, “defer any consideration on the merits of the ISO’s reform efforts until the earlier of the ISO’s filing of its reform proposal or the date which the Commission issues a supplemental order in this proceeding.”</w:t>
      </w:r>
    </w:p>
    <w:p>
      <w:pPr>
        <w:pStyle w:val="Normal"/>
        <w:rPr>
          <w:sz w:val="26"/>
          <w:szCs w:val="26"/>
        </w:rPr>
      </w:pPr>
      <w:r>
        <w:rPr>
          <w:sz w:val="26"/>
          <w:szCs w:val="26"/>
        </w:rPr>
      </w:r>
    </w:p>
    <w:p>
      <w:pPr>
        <w:pStyle w:val="Normal"/>
        <w:ind w:firstLine="720" w:end="0"/>
        <w:rPr>
          <w:sz w:val="26"/>
          <w:szCs w:val="26"/>
        </w:rPr>
      </w:pPr>
      <w:r>
        <w:rPr>
          <w:b/>
          <w:bCs/>
          <w:sz w:val="26"/>
          <w:szCs w:val="26"/>
          <w:u w:val="single"/>
        </w:rPr>
        <w:t>Spot Market Volatility</w:t>
      </w:r>
    </w:p>
    <w:p>
      <w:pPr>
        <w:pStyle w:val="Normal"/>
        <w:ind w:firstLine="720" w:end="0"/>
        <w:rPr>
          <w:sz w:val="26"/>
          <w:szCs w:val="26"/>
        </w:rPr>
      </w:pPr>
      <w:r>
        <w:rPr>
          <w:sz w:val="26"/>
          <w:szCs w:val="26"/>
        </w:rPr>
      </w:r>
    </w:p>
    <w:p>
      <w:pPr>
        <w:pStyle w:val="Normal"/>
        <w:ind w:firstLine="720" w:end="0"/>
        <w:rPr>
          <w:sz w:val="26"/>
          <w:szCs w:val="26"/>
        </w:rPr>
      </w:pPr>
      <w:r>
        <w:rPr>
          <w:sz w:val="26"/>
          <w:szCs w:val="26"/>
        </w:rPr>
        <w:t xml:space="preserve">With regard to SDG&amp;E’s concerns about price volatility, the Commission notes that the utility, “has chosen not to purchase risk management tools that were and are available and that would have provided price certainty during periods of short supply.”  And that SDG&amp;E, unlike PG&amp;E and Edison, has, “not sought state commission authority to hedge its price risks through forward contracts.”  Actually, however, SDG&amp;E did make an emergency motion to the CPUC asking to trade bilaterally on August 9. </w:t>
      </w:r>
    </w:p>
    <w:p>
      <w:pPr>
        <w:pStyle w:val="Normal"/>
        <w:ind w:firstLine="720" w:end="0"/>
        <w:rPr>
          <w:sz w:val="26"/>
          <w:szCs w:val="26"/>
        </w:rPr>
      </w:pPr>
      <w:r>
        <w:rPr>
          <w:sz w:val="26"/>
          <w:szCs w:val="26"/>
        </w:rPr>
      </w:r>
    </w:p>
    <w:p>
      <w:pPr>
        <w:pStyle w:val="Normal"/>
        <w:ind w:firstLine="720" w:end="0"/>
        <w:rPr>
          <w:sz w:val="26"/>
          <w:szCs w:val="26"/>
        </w:rPr>
      </w:pPr>
      <w:r>
        <w:rPr>
          <w:sz w:val="26"/>
          <w:szCs w:val="26"/>
        </w:rPr>
        <w:t>The Commission stresses that, “A retail rate design that exposes consumers to the volatility of commodity prices would be extraordinary, particularly when consumers do not have the ability to receive or respond to price signals…..we would expect any responsible retail supplier to rely on a portfolio of resources and to turn to the spot market only to engage in economy transactions or to meet portions of its load that could not be predicted well in advance or which were not anticipated due to resource outages greater than are covered by prudent reserves.  We note that responsible hedging in the forward markets will greatly reduce price volatility for SDG&amp;E’s retail customers even within the limits established by the California Commission.”  The Commission also notes the great variety of forward products offered by the PX.</w:t>
      </w:r>
    </w:p>
    <w:p>
      <w:pPr>
        <w:pStyle w:val="Normal"/>
        <w:ind w:firstLine="720" w:end="0"/>
        <w:rPr>
          <w:sz w:val="26"/>
          <w:szCs w:val="26"/>
        </w:rPr>
      </w:pPr>
      <w:r>
        <w:rPr>
          <w:sz w:val="26"/>
          <w:szCs w:val="26"/>
        </w:rPr>
      </w:r>
    </w:p>
    <w:p>
      <w:pPr>
        <w:pStyle w:val="Normal"/>
        <w:ind w:firstLine="720" w:end="0"/>
        <w:rPr>
          <w:b/>
          <w:bCs/>
          <w:sz w:val="26"/>
          <w:szCs w:val="26"/>
          <w:u w:val="single"/>
        </w:rPr>
      </w:pPr>
      <w:r>
        <w:rPr>
          <w:b/>
          <w:bCs/>
          <w:sz w:val="26"/>
          <w:szCs w:val="26"/>
          <w:u w:val="single"/>
        </w:rPr>
        <w:t>Other Market Issues</w:t>
      </w:r>
    </w:p>
    <w:p>
      <w:pPr>
        <w:pStyle w:val="Normal"/>
        <w:ind w:firstLine="720" w:end="0"/>
        <w:rPr>
          <w:b/>
          <w:bCs/>
          <w:sz w:val="26"/>
          <w:szCs w:val="26"/>
          <w:u w:val="single"/>
        </w:rPr>
      </w:pPr>
      <w:r>
        <w:rPr>
          <w:b/>
          <w:bCs/>
          <w:sz w:val="26"/>
          <w:szCs w:val="26"/>
          <w:u w:val="single"/>
        </w:rPr>
      </w:r>
    </w:p>
    <w:p>
      <w:pPr>
        <w:pStyle w:val="Normal"/>
        <w:ind w:firstLine="720" w:end="0"/>
        <w:rPr>
          <w:sz w:val="26"/>
          <w:szCs w:val="26"/>
        </w:rPr>
      </w:pPr>
      <w:r>
        <w:rPr>
          <w:sz w:val="26"/>
          <w:szCs w:val="26"/>
        </w:rPr>
        <w:t>The Order notes that underscheduling of loads and generation has become a problem, saying that, “In some hours as much as 25 percent of system needs were met in the ISO real-time market.”  The Commission says this raises significant reliability and economical concerns.  To address this problem, the Order directs the ISO to, “immediately institute a more forward approach to procuring the resources necessary to reliably operate the grid.  Specifically, the ISO should anticipate the need for such additional resources based on  forecasted peak periods.  We direct the ISO to factor these reforms into an analysis of the need for and level of purchase price caps and to include this analysis as support for any filing it makes to extend its purchase price cap authority.”  To the extent that the future procedural order calls for the filing of testimony, this might also be an area which would be ripe for WPTF to discuss.</w:t>
      </w:r>
    </w:p>
    <w:p>
      <w:pPr>
        <w:pStyle w:val="Normal"/>
        <w:ind w:firstLine="720" w:end="0"/>
        <w:rPr>
          <w:sz w:val="26"/>
          <w:szCs w:val="26"/>
        </w:rPr>
      </w:pPr>
      <w:r>
        <w:rPr>
          <w:sz w:val="26"/>
          <w:szCs w:val="26"/>
        </w:rPr>
      </w:r>
    </w:p>
    <w:p>
      <w:pPr>
        <w:pStyle w:val="Normal"/>
        <w:ind w:firstLine="720" w:end="0"/>
        <w:rPr>
          <w:b/>
          <w:bCs/>
          <w:sz w:val="26"/>
          <w:szCs w:val="26"/>
          <w:u w:val="single"/>
        </w:rPr>
      </w:pPr>
      <w:r>
        <w:rPr>
          <w:b/>
          <w:bCs/>
          <w:sz w:val="26"/>
          <w:szCs w:val="26"/>
          <w:u w:val="single"/>
        </w:rPr>
        <w:t>Refund Effective Date</w:t>
      </w:r>
    </w:p>
    <w:p>
      <w:pPr>
        <w:pStyle w:val="Normal"/>
        <w:ind w:firstLine="720" w:end="0"/>
        <w:rPr>
          <w:b/>
          <w:bCs/>
          <w:sz w:val="26"/>
          <w:szCs w:val="26"/>
          <w:u w:val="single"/>
        </w:rPr>
      </w:pPr>
      <w:r>
        <w:rPr>
          <w:b/>
          <w:bCs/>
          <w:sz w:val="26"/>
          <w:szCs w:val="26"/>
          <w:u w:val="single"/>
        </w:rPr>
      </w:r>
    </w:p>
    <w:p>
      <w:pPr>
        <w:pStyle w:val="Normal"/>
        <w:ind w:firstLine="720" w:end="0"/>
        <w:rPr>
          <w:sz w:val="26"/>
          <w:szCs w:val="26"/>
        </w:rPr>
      </w:pPr>
      <w:r>
        <w:rPr>
          <w:sz w:val="26"/>
          <w:szCs w:val="26"/>
        </w:rPr>
        <w:t>The Order explains that in cases where the Commission institutes a proceeding either on a complaint under section 206 of the Federal Power Act, or on its own motion, section 206(b) requires that the Commission establish a refund effective date that is no earlier than 60 days after the filing of the complaint, but no later than five months subsequent to the expiration of the 60</w:t>
        <w:noBreakHyphen/>
        <w:t>day period.  The Commission then establishes the refund effective date as being 60 days from the date on which the notice of the initiation of the investigation in Docket No. EL00-98-000 is published in the Federal Register.</w:t>
      </w:r>
    </w:p>
    <w:p>
      <w:pPr>
        <w:pStyle w:val="Normal"/>
        <w:ind w:firstLine="720" w:end="0"/>
        <w:rPr>
          <w:sz w:val="26"/>
          <w:szCs w:val="26"/>
        </w:rPr>
      </w:pPr>
      <w:r>
        <w:rPr>
          <w:sz w:val="26"/>
          <w:szCs w:val="26"/>
        </w:rPr>
      </w:r>
    </w:p>
    <w:p>
      <w:pPr>
        <w:pStyle w:val="Normal"/>
        <w:ind w:firstLine="720" w:end="0"/>
        <w:rPr>
          <w:sz w:val="26"/>
          <w:szCs w:val="26"/>
        </w:rPr>
      </w:pPr>
      <w:r>
        <w:rPr>
          <w:sz w:val="26"/>
          <w:szCs w:val="26"/>
        </w:rPr>
        <w:t>However, this is very much a procedural requirement and does not suggest that any refunds are actually likely to be ordered.  The Order states that refunds are discretionary and that, “any attempt to establish a just and reasonable price to serve as the basis for a refund calculation would be extremely difficult to the extent that it would require the Commission to reconstruct economic decisions that would have been made under different circumstances.  In addition, in the context of market-based rates and a competitive market, refunds may not be the appropriate remedy to address any competitive problems that may be found.”  The Commission further emphasizes that, “while refunds would ultimately offer some level of restitution to California ratepayers, they may be an inferior remedy from a market perspective and not the fundamental solution to any problems occurring in California markets.”  This should be good news to WPTF members.  Any testimony by WPTF may also want to reiterate that refunds are an inappropriate remedy in this proceeding.</w:t>
      </w:r>
    </w:p>
    <w:p>
      <w:pPr>
        <w:pStyle w:val="Normal"/>
        <w:ind w:firstLine="720" w:end="0"/>
        <w:rPr>
          <w:sz w:val="26"/>
          <w:szCs w:val="26"/>
        </w:rPr>
      </w:pPr>
      <w:r>
        <w:rPr>
          <w:sz w:val="26"/>
          <w:szCs w:val="26"/>
        </w:rPr>
      </w:r>
    </w:p>
    <w:p>
      <w:pPr>
        <w:pStyle w:val="Normal"/>
        <w:ind w:firstLine="720" w:end="0"/>
        <w:rPr>
          <w:b/>
          <w:bCs/>
          <w:sz w:val="26"/>
          <w:szCs w:val="26"/>
          <w:u w:val="single"/>
        </w:rPr>
      </w:pPr>
      <w:r>
        <w:rPr>
          <w:b/>
          <w:bCs/>
          <w:sz w:val="26"/>
          <w:szCs w:val="26"/>
          <w:u w:val="single"/>
        </w:rPr>
        <w:t>Conclusion</w:t>
      </w:r>
    </w:p>
    <w:p>
      <w:pPr>
        <w:pStyle w:val="Normal"/>
        <w:ind w:firstLine="720" w:end="0"/>
        <w:rPr>
          <w:b/>
          <w:bCs/>
          <w:sz w:val="26"/>
          <w:szCs w:val="26"/>
          <w:u w:val="single"/>
        </w:rPr>
      </w:pPr>
      <w:r>
        <w:rPr>
          <w:b/>
          <w:bCs/>
          <w:sz w:val="26"/>
          <w:szCs w:val="26"/>
          <w:u w:val="single"/>
        </w:rPr>
      </w:r>
    </w:p>
    <w:p>
      <w:pPr>
        <w:pStyle w:val="Normal"/>
        <w:ind w:firstLine="720" w:end="0"/>
        <w:rPr>
          <w:sz w:val="26"/>
          <w:szCs w:val="26"/>
        </w:rPr>
      </w:pPr>
      <w:r>
        <w:rPr>
          <w:sz w:val="26"/>
          <w:szCs w:val="26"/>
        </w:rPr>
        <w:t>The Commission’s action appears to be good news for those market participants who have been trying to talk rationally about the issue of high prices, as opposed to those who are trying to make political capital out of attacking deregulation and trying to be seen as the savior of SDG&amp;E ratepayers.  The Order reveals a fundamental continued inclination on the part of the Commission to avoid command and control market intervention remedies.  Moreover, it provides an excellent opportunity for WPTF and similarly inclined market participants to interest and involve the Commission in some of the issues which are of concern to us.</w:t>
      </w:r>
    </w:p>
    <w:p>
      <w:pPr>
        <w:pStyle w:val="Normal"/>
        <w:ind w:firstLine="720" w:end="0"/>
        <w:rPr>
          <w:sz w:val="26"/>
          <w:szCs w:val="26"/>
        </w:rPr>
      </w:pPr>
      <w:r>
        <w:rPr>
          <w:sz w:val="26"/>
          <w:szCs w:val="26"/>
        </w:rPr>
      </w:r>
    </w:p>
    <w:p>
      <w:pPr>
        <w:pStyle w:val="Normal"/>
        <w:ind w:firstLine="720" w:end="0"/>
        <w:rPr>
          <w:sz w:val="26"/>
          <w:szCs w:val="26"/>
        </w:rPr>
      </w:pPr>
      <w:r>
        <w:rPr>
          <w:sz w:val="26"/>
          <w:szCs w:val="26"/>
        </w:rPr>
        <w:t xml:space="preserve">Please call or email me if you have any questions about this summary of the Order.  </w:t>
      </w:r>
    </w:p>
    <w:sectPr>
      <w:headerReference w:type="default" r:id="rId2"/>
      <w:headerReference w:type="first" r:id="rId3"/>
      <w:footerReference w:type="default" r:id="rId4"/>
      <w:footerReference w:type="first" r:id="rId5"/>
      <w:type w:val="nextPage"/>
      <w:pgSz w:w="12240" w:h="15840"/>
      <w:pgMar w:left="1440" w:right="1440" w:gutter="0" w:header="864" w:top="1440" w:footer="720" w:bottom="1152"/>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Goudy Old Style">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68" w:type="dxa"/>
      <w:jc w:val="start"/>
      <w:tblInd w:w="0" w:type="dxa"/>
      <w:tblLayout w:type="fixed"/>
      <w:tblCellMar>
        <w:top w:w="0" w:type="dxa"/>
        <w:start w:w="108" w:type="dxa"/>
        <w:bottom w:w="0" w:type="dxa"/>
        <w:end w:w="108" w:type="dxa"/>
      </w:tblCellMar>
    </w:tblPr>
    <w:tblGrid>
      <w:gridCol w:w="3048"/>
      <w:gridCol w:w="3540"/>
      <w:gridCol w:w="2880"/>
    </w:tblGrid>
    <w:tr>
      <w:trPr/>
      <w:tc>
        <w:tcPr>
          <w:tcW w:w="3048" w:type="dxa"/>
          <w:tcBorders/>
        </w:tcPr>
        <w:p>
          <w:pPr>
            <w:pStyle w:val="Normal"/>
            <w:rPr>
              <w:rStyle w:val="FooterTxt"/>
            </w:rPr>
          </w:pPr>
          <w:r>
            <w:rPr>
              <w:rStyle w:val="FooterTxt"/>
            </w:rPr>
            <w:fldChar w:fldCharType="begin"/>
          </w:r>
          <w:r>
            <w:rPr>
              <w:rStyle w:val="FooterTxt"/>
            </w:rPr>
            <w:instrText xml:space="preserve"> DOCPROPERTY "DocNumber"</w:instrText>
          </w:r>
          <w:r>
            <w:rPr>
              <w:rStyle w:val="FooterTxt"/>
            </w:rPr>
            <w:fldChar w:fldCharType="separate"/>
          </w:r>
          <w:r>
            <w:rPr>
              <w:rStyle w:val="FooterTxt"/>
            </w:rPr>
            <w:t>1</w:t>
          </w:r>
          <w:r>
            <w:rPr>
              <w:rStyle w:val="FooterTxt"/>
            </w:rPr>
            <w:fldChar w:fldCharType="end"/>
          </w:r>
          <w:r>
            <w:rPr>
              <w:rStyle w:val="FooterTxt"/>
            </w:rPr>
            <w:t>.</w:t>
          </w:r>
          <w:r>
            <w:rPr>
              <w:rStyle w:val="FooterTxt"/>
            </w:rPr>
            <w:fldChar w:fldCharType="begin"/>
          </w:r>
          <w:r>
            <w:rPr>
              <w:rStyle w:val="FooterTxt"/>
            </w:rPr>
            <w:instrText xml:space="preserve"> DOCPROPERTY "DocVersion"</w:instrText>
          </w:r>
          <w:r>
            <w:rPr>
              <w:rStyle w:val="FooterTxt"/>
            </w:rPr>
            <w:fldChar w:fldCharType="separate"/>
          </w:r>
          <w:r>
            <w:rPr>
              <w:rStyle w:val="FooterTxt"/>
            </w:rPr>
            <w:t>1</w:t>
          </w:r>
          <w:r>
            <w:rPr>
              <w:rStyle w:val="FooterTxt"/>
            </w:rPr>
            <w:fldChar w:fldCharType="end"/>
          </w:r>
        </w:p>
        <w:p>
          <w:pPr>
            <w:pStyle w:val="Footer"/>
            <w:tabs>
              <w:tab w:val="clear" w:pos="4320"/>
              <w:tab w:val="clear" w:pos="8640"/>
            </w:tabs>
            <w:rPr>
              <w:rStyle w:val="FooterTxt"/>
            </w:rPr>
          </w:pPr>
          <w:r>
            <w:rPr>
              <w:rStyle w:val="FooterTxt"/>
            </w:rPr>
            <w:fldChar w:fldCharType="begin"/>
          </w:r>
          <w:r>
            <w:rPr>
              <w:rStyle w:val="FooterTxt"/>
            </w:rPr>
            <w:instrText xml:space="preserve"> DOCPROPERTY "Client"</w:instrText>
          </w:r>
          <w:r>
            <w:rPr>
              <w:rStyle w:val="FooterTxt"/>
            </w:rPr>
            <w:fldChar w:fldCharType="separate"/>
          </w:r>
          <w:r>
            <w:rPr>
              <w:rStyle w:val="FooterTxt"/>
            </w:rPr>
            <w:t>69738</w:t>
          </w:r>
          <w:r>
            <w:rPr>
              <w:rStyle w:val="FooterTxt"/>
            </w:rPr>
            <w:fldChar w:fldCharType="end"/>
          </w:r>
          <w:r>
            <w:rPr>
              <w:rStyle w:val="FooterTxt"/>
            </w:rPr>
            <w:t>/</w:t>
          </w:r>
          <w:r>
            <w:rPr>
              <w:rStyle w:val="FooterTxt"/>
            </w:rPr>
            <w:fldChar w:fldCharType="begin"/>
          </w:r>
          <w:r>
            <w:rPr>
              <w:rStyle w:val="FooterTxt"/>
            </w:rPr>
            <w:instrText xml:space="preserve"> DOCPROPERTY "Matter"</w:instrText>
          </w:r>
          <w:r>
            <w:rPr>
              <w:rStyle w:val="FooterTxt"/>
            </w:rPr>
            <w:fldChar w:fldCharType="separate"/>
          </w:r>
          <w:r>
            <w:rPr>
              <w:rStyle w:val="FooterTxt"/>
            </w:rPr>
            <w:t>00000</w:t>
          </w:r>
          <w:r>
            <w:rPr>
              <w:rStyle w:val="FooterTxt"/>
            </w:rPr>
            <w:fldChar w:fldCharType="end"/>
          </w:r>
        </w:p>
      </w:tc>
      <w:tc>
        <w:tcPr>
          <w:tcW w:w="3540" w:type="dxa"/>
          <w:tcBorders/>
        </w:tcPr>
        <w:p>
          <w:pPr>
            <w:pStyle w:val="Footer"/>
            <w:tabs>
              <w:tab w:val="clear" w:pos="4320"/>
              <w:tab w:val="clear" w:pos="8640"/>
            </w:tabs>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c>
      <w:tc>
        <w:tcPr>
          <w:tcW w:w="2880" w:type="dxa"/>
          <w:tcBorders/>
        </w:tcPr>
        <w:p>
          <w:pPr>
            <w:pStyle w:val="Footer"/>
            <w:tabs>
              <w:tab w:val="clear" w:pos="4320"/>
              <w:tab w:val="clear" w:pos="8640"/>
            </w:tabs>
            <w:snapToGrid w:val="false"/>
            <w:jc w:val="end"/>
            <w:rPr/>
          </w:pPr>
          <w:r>
            <w:rPr/>
          </w:r>
        </w:p>
      </w:tc>
    </w:tr>
  </w:tbl>
  <w:p>
    <w:pPr>
      <w:pStyle w:val="Footer"/>
      <w:tabs>
        <w:tab w:val="clear" w:pos="4320"/>
        <w:tab w:val="clear" w:pos="8640"/>
      </w:tabs>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68" w:type="dxa"/>
      <w:jc w:val="start"/>
      <w:tblInd w:w="0" w:type="dxa"/>
      <w:tblLayout w:type="fixed"/>
      <w:tblCellMar>
        <w:top w:w="0" w:type="dxa"/>
        <w:start w:w="108" w:type="dxa"/>
        <w:bottom w:w="0" w:type="dxa"/>
        <w:end w:w="108" w:type="dxa"/>
      </w:tblCellMar>
    </w:tblPr>
    <w:tblGrid>
      <w:gridCol w:w="3048"/>
      <w:gridCol w:w="3630"/>
      <w:gridCol w:w="2790"/>
    </w:tblGrid>
    <w:tr>
      <w:trPr/>
      <w:tc>
        <w:tcPr>
          <w:tcW w:w="3048" w:type="dxa"/>
          <w:tcBorders/>
        </w:tcPr>
        <w:p>
          <w:pPr>
            <w:pStyle w:val="Normal"/>
            <w:rPr>
              <w:rStyle w:val="FooterTxt"/>
            </w:rPr>
          </w:pPr>
          <w:r>
            <w:rPr>
              <w:rStyle w:val="FooterTxt"/>
            </w:rPr>
            <w:fldChar w:fldCharType="begin"/>
          </w:r>
          <w:r>
            <w:rPr>
              <w:rStyle w:val="FooterTxt"/>
            </w:rPr>
            <w:instrText xml:space="preserve"> DOCPROPERTY "DocNumber"</w:instrText>
          </w:r>
          <w:r>
            <w:rPr>
              <w:rStyle w:val="FooterTxt"/>
            </w:rPr>
            <w:fldChar w:fldCharType="separate"/>
          </w:r>
          <w:r>
            <w:rPr>
              <w:rStyle w:val="FooterTxt"/>
            </w:rPr>
            <w:t>1</w:t>
          </w:r>
          <w:r>
            <w:rPr>
              <w:rStyle w:val="FooterTxt"/>
            </w:rPr>
            <w:fldChar w:fldCharType="end"/>
          </w:r>
          <w:r>
            <w:rPr>
              <w:rStyle w:val="FooterTxt"/>
            </w:rPr>
            <w:t>.</w:t>
          </w:r>
          <w:r>
            <w:rPr>
              <w:rStyle w:val="FooterTxt"/>
            </w:rPr>
            <w:fldChar w:fldCharType="begin"/>
          </w:r>
          <w:r>
            <w:rPr>
              <w:rStyle w:val="FooterTxt"/>
            </w:rPr>
            <w:instrText xml:space="preserve"> DOCPROPERTY "DocVersion"</w:instrText>
          </w:r>
          <w:r>
            <w:rPr>
              <w:rStyle w:val="FooterTxt"/>
            </w:rPr>
            <w:fldChar w:fldCharType="separate"/>
          </w:r>
          <w:r>
            <w:rPr>
              <w:rStyle w:val="FooterTxt"/>
            </w:rPr>
            <w:t>1</w:t>
          </w:r>
          <w:r>
            <w:rPr>
              <w:rStyle w:val="FooterTxt"/>
            </w:rPr>
            <w:fldChar w:fldCharType="end"/>
          </w:r>
        </w:p>
        <w:p>
          <w:pPr>
            <w:pStyle w:val="Footer"/>
            <w:tabs>
              <w:tab w:val="clear" w:pos="4320"/>
              <w:tab w:val="clear" w:pos="8640"/>
            </w:tabs>
            <w:rPr>
              <w:rStyle w:val="FooterTxt"/>
            </w:rPr>
          </w:pPr>
          <w:r>
            <w:rPr>
              <w:rStyle w:val="FooterTxt"/>
            </w:rPr>
            <w:fldChar w:fldCharType="begin"/>
          </w:r>
          <w:r>
            <w:rPr>
              <w:rStyle w:val="FooterTxt"/>
            </w:rPr>
            <w:instrText xml:space="preserve"> DOCPROPERTY "Client"</w:instrText>
          </w:r>
          <w:r>
            <w:rPr>
              <w:rStyle w:val="FooterTxt"/>
            </w:rPr>
            <w:fldChar w:fldCharType="separate"/>
          </w:r>
          <w:r>
            <w:rPr>
              <w:rStyle w:val="FooterTxt"/>
            </w:rPr>
            <w:t>69738</w:t>
          </w:r>
          <w:r>
            <w:rPr>
              <w:rStyle w:val="FooterTxt"/>
            </w:rPr>
            <w:fldChar w:fldCharType="end"/>
          </w:r>
          <w:r>
            <w:rPr>
              <w:rStyle w:val="FooterTxt"/>
            </w:rPr>
            <w:t>/</w:t>
          </w:r>
          <w:r>
            <w:rPr>
              <w:rStyle w:val="FooterTxt"/>
            </w:rPr>
            <w:fldChar w:fldCharType="begin"/>
          </w:r>
          <w:r>
            <w:rPr>
              <w:rStyle w:val="FooterTxt"/>
            </w:rPr>
            <w:instrText xml:space="preserve"> DOCPROPERTY "Matter"</w:instrText>
          </w:r>
          <w:r>
            <w:rPr>
              <w:rStyle w:val="FooterTxt"/>
            </w:rPr>
            <w:fldChar w:fldCharType="separate"/>
          </w:r>
          <w:r>
            <w:rPr>
              <w:rStyle w:val="FooterTxt"/>
            </w:rPr>
            <w:t>00000</w:t>
          </w:r>
          <w:r>
            <w:rPr>
              <w:rStyle w:val="FooterTxt"/>
            </w:rPr>
            <w:fldChar w:fldCharType="end"/>
          </w:r>
        </w:p>
      </w:tc>
      <w:tc>
        <w:tcPr>
          <w:tcW w:w="3630" w:type="dxa"/>
          <w:tcBorders/>
        </w:tcPr>
        <w:p>
          <w:pPr>
            <w:pStyle w:val="Footer"/>
            <w:tabs>
              <w:tab w:val="clear" w:pos="4320"/>
              <w:tab w:val="clear" w:pos="8640"/>
            </w:tabs>
            <w:snapToGrid w:val="false"/>
            <w:jc w:val="center"/>
            <w:rPr>
              <w:rStyle w:val="FooterTxt"/>
            </w:rPr>
          </w:pPr>
          <w:r>
            <w:rPr/>
          </w:r>
        </w:p>
      </w:tc>
      <w:tc>
        <w:tcPr>
          <w:tcW w:w="2790" w:type="dxa"/>
          <w:tcBorders/>
        </w:tcPr>
        <w:p>
          <w:pPr>
            <w:pStyle w:val="Footer"/>
            <w:tabs>
              <w:tab w:val="clear" w:pos="4320"/>
              <w:tab w:val="clear" w:pos="8640"/>
            </w:tabs>
            <w:snapToGrid w:val="false"/>
            <w:jc w:val="center"/>
            <w:rPr>
              <w:rStyle w:val="FooterTxt"/>
            </w:rPr>
          </w:pPr>
          <w:r>
            <w:rPr/>
          </w:r>
        </w:p>
      </w:tc>
    </w:tr>
  </w:tbl>
  <w:p>
    <w:pPr>
      <w:pStyle w:val="Footer"/>
      <w:tabs>
        <w:tab w:val="clear" w:pos="4320"/>
        <w:tab w:val="clear" w:pos="8640"/>
      </w:tabs>
      <w:rPr>
        <w:rStyle w:val="FooterTx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right" w:pos="864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Lines/>
      <w:numPr>
        <w:ilvl w:val="0"/>
        <w:numId w:val="1"/>
      </w:numPr>
      <w:ind w:hanging="720" w:start="720" w:end="0"/>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rPr>
  </w:style>
  <w:style w:type="paragraph" w:styleId="Heading3">
    <w:name w:val="heading 3"/>
    <w:basedOn w:val="Normal"/>
    <w:next w:val="Normal"/>
    <w:qFormat/>
    <w:pPr>
      <w:numPr>
        <w:ilvl w:val="2"/>
        <w:numId w:val="1"/>
      </w:numPr>
      <w:ind w:hanging="720" w:start="2160" w:end="0"/>
      <w:outlineLvl w:val="2"/>
    </w:pPr>
    <w:rPr>
      <w:b/>
      <w:bCs/>
    </w:rPr>
  </w:style>
  <w:style w:type="paragraph" w:styleId="Heading4">
    <w:name w:val="heading 4"/>
    <w:basedOn w:val="Normal"/>
    <w:next w:val="Normal"/>
    <w:qFormat/>
    <w:pPr>
      <w:numPr>
        <w:ilvl w:val="3"/>
        <w:numId w:val="1"/>
      </w:numPr>
      <w:ind w:hanging="720" w:start="2880" w:end="0"/>
      <w:outlineLvl w:val="3"/>
    </w:pPr>
    <w:rPr>
      <w:b/>
      <w:bCs/>
    </w:rPr>
  </w:style>
  <w:style w:type="paragraph" w:styleId="Heading5">
    <w:name w:val="heading 5"/>
    <w:basedOn w:val="Normal"/>
    <w:next w:val="Normal"/>
    <w:qFormat/>
    <w:pPr>
      <w:numPr>
        <w:ilvl w:val="4"/>
        <w:numId w:val="1"/>
      </w:numPr>
      <w:ind w:hanging="720" w:start="3600" w:end="720"/>
      <w:outlineLvl w:val="4"/>
    </w:pPr>
    <w:rPr>
      <w:b/>
      <w:bCs/>
    </w:rPr>
  </w:style>
  <w:style w:type="paragraph" w:styleId="Heading6">
    <w:name w:val="heading 6"/>
    <w:basedOn w:val="Normal"/>
    <w:next w:val="Normal"/>
    <w:qFormat/>
    <w:pPr>
      <w:numPr>
        <w:ilvl w:val="5"/>
        <w:numId w:val="1"/>
      </w:numPr>
      <w:ind w:hanging="720" w:start="4320" w:end="720"/>
      <w:outlineLvl w:val="5"/>
    </w:pPr>
    <w:rPr>
      <w:b/>
      <w:bCs/>
    </w:rPr>
  </w:style>
  <w:style w:type="paragraph" w:styleId="Heading7">
    <w:name w:val="heading 7"/>
    <w:basedOn w:val="Normal"/>
    <w:next w:val="Normal"/>
    <w:qFormat/>
    <w:pPr>
      <w:numPr>
        <w:ilvl w:val="6"/>
        <w:numId w:val="1"/>
      </w:numPr>
      <w:ind w:hanging="720" w:start="5040" w:end="0"/>
      <w:outlineLvl w:val="6"/>
    </w:pPr>
    <w:rPr>
      <w:b/>
      <w:bCs/>
    </w:rPr>
  </w:style>
  <w:style w:type="paragraph" w:styleId="Heading8">
    <w:name w:val="heading 8"/>
    <w:basedOn w:val="Normal"/>
    <w:next w:val="Normal"/>
    <w:qFormat/>
    <w:pPr>
      <w:numPr>
        <w:ilvl w:val="7"/>
        <w:numId w:val="1"/>
      </w:numPr>
      <w:ind w:hanging="720" w:start="5760" w:end="0"/>
      <w:outlineLvl w:val="7"/>
    </w:pPr>
    <w:rPr>
      <w:b/>
      <w:bCs/>
    </w:rPr>
  </w:style>
  <w:style w:type="paragraph" w:styleId="Heading9">
    <w:name w:val="heading 9"/>
    <w:basedOn w:val="Normal"/>
    <w:next w:val="Normal"/>
    <w:qFormat/>
    <w:pPr>
      <w:numPr>
        <w:ilvl w:val="8"/>
        <w:numId w:val="1"/>
      </w:numPr>
      <w:ind w:hanging="720" w:start="6480" w:end="0"/>
      <w:outlineLvl w:val="8"/>
    </w:pPr>
    <w:rPr>
      <w:b/>
      <w:bCs/>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b/>
      <w:bCs/>
      <w:vertAlign w:val="superscript"/>
    </w:rPr>
  </w:style>
  <w:style w:type="character" w:styleId="zMemoHdg">
    <w:name w:val="zMemoHdg"/>
    <w:basedOn w:val="DefaultParagraphFont"/>
    <w:qFormat/>
    <w:rPr>
      <w:rFonts w:ascii="Times New Roman" w:hAnsi="Times New Roman" w:eastAsia="Times New Roman" w:cs="Times New Roman"/>
      <w:color w:val="000000"/>
      <w:sz w:val="24"/>
      <w:szCs w:val="24"/>
      <w:lang w:val="en-US"/>
    </w:rPr>
  </w:style>
  <w:style w:type="character" w:styleId="PageNumber">
    <w:name w:val="page number"/>
    <w:basedOn w:val="DefaultParagraphFont"/>
    <w:rPr>
      <w:sz w:val="24"/>
      <w:szCs w:val="24"/>
    </w:rPr>
  </w:style>
  <w:style w:type="character" w:styleId="FooterTxt">
    <w:name w:val="FooterTxt"/>
    <w:basedOn w:val="DefaultParagraphFont"/>
    <w:qFormat/>
    <w:rPr>
      <w:sz w:val="15"/>
      <w:szCs w:val="15"/>
    </w:rPr>
  </w:style>
  <w:style w:type="character" w:styleId="DocTitle">
    <w:name w:val="DocTitle"/>
    <w:basedOn w:val="DefaultParagraphFont"/>
    <w:qFormat/>
    <w:rPr>
      <w:b/>
      <w:bCs/>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z w:val="24"/>
      <w:szCs w:val="24"/>
    </w:rPr>
  </w:style>
  <w:style w:type="paragraph" w:styleId="FootnoteText">
    <w:name w:val="footnote text"/>
    <w:basedOn w:val="Normal"/>
    <w:pPr>
      <w:tabs>
        <w:tab w:val="clear" w:pos="720"/>
        <w:tab w:val="left" w:pos="360" w:leader="none"/>
      </w:tabs>
      <w:spacing w:before="0" w:after="240"/>
    </w:pPr>
    <w:rPr>
      <w:sz w:val="20"/>
      <w:szCs w:val="20"/>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Table">
    <w:name w:val="Table"/>
    <w:basedOn w:val="Normal"/>
    <w:qFormat/>
    <w:pPr>
      <w:spacing w:before="40" w:after="40"/>
    </w:pPr>
    <w:rPr/>
  </w:style>
  <w:style w:type="paragraph" w:styleId="HeadingTitle">
    <w:name w:val="Heading Title"/>
    <w:basedOn w:val="Normal"/>
    <w:next w:val="Body"/>
    <w:qFormat/>
    <w:pPr>
      <w:keepNext w:val="true"/>
      <w:keepLines/>
      <w:spacing w:before="0" w:after="240"/>
      <w:jc w:val="center"/>
    </w:pPr>
    <w:rPr>
      <w:u w:val="single"/>
    </w:rPr>
  </w:style>
  <w:style w:type="paragraph" w:styleId="TOAHeading">
    <w:name w:val="TOA Heading"/>
    <w:basedOn w:val="Normal"/>
    <w:next w:val="Normal"/>
    <w:qFormat/>
    <w:pPr>
      <w:tabs>
        <w:tab w:val="clear" w:pos="720"/>
        <w:tab w:val="right" w:pos="9360" w:leader="none"/>
      </w:tabs>
      <w:suppressAutoHyphens w:val="true"/>
    </w:pPr>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spacing w:before="0" w:after="240"/>
      <w:ind w:firstLine="720" w:start="0" w:end="0"/>
    </w:pPr>
    <w:rPr/>
  </w:style>
  <w:style w:type="paragraph" w:styleId="BodyFlush">
    <w:name w:val="BodyFlush"/>
    <w:basedOn w:val="Normal"/>
    <w:qFormat/>
    <w:pPr>
      <w:spacing w:before="240" w:after="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before="0" w:after="120"/>
      <w:ind w:hanging="0" w:start="720" w:end="0"/>
    </w:pPr>
    <w:rPr/>
  </w:style>
  <w:style w:type="paragraph" w:styleId="Body1">
    <w:name w:val="Body1"/>
    <w:basedOn w:val="Normal"/>
    <w:qFormat/>
    <w:pPr>
      <w:spacing w:before="0" w:after="240"/>
      <w:ind w:firstLine="1440" w:start="0" w:end="0"/>
    </w:pPr>
    <w:rPr/>
  </w:style>
  <w:style w:type="paragraph" w:styleId="Center">
    <w:name w:val="Center"/>
    <w:basedOn w:val="Normal"/>
    <w:qFormat/>
    <w:pPr>
      <w:keepNext w:val="true"/>
      <w:keepLines/>
      <w:suppressAutoHyphens w:val="true"/>
      <w:spacing w:before="0" w:after="240"/>
      <w:jc w:val="center"/>
    </w:pPr>
    <w:rPr/>
  </w:style>
  <w:style w:type="paragraph" w:styleId="IndentHanging">
    <w:name w:val="Indent Hanging"/>
    <w:basedOn w:val="Normal"/>
    <w:qFormat/>
    <w:pPr>
      <w:spacing w:before="0" w:after="240"/>
      <w:ind w:hanging="720" w:start="2160" w:end="0"/>
    </w:pPr>
    <w:rPr/>
  </w:style>
  <w:style w:type="paragraph" w:styleId="IndentLR">
    <w:name w:val="Indent L/R"/>
    <w:basedOn w:val="Normal"/>
    <w:qFormat/>
    <w:pPr>
      <w:spacing w:before="0" w:after="240"/>
      <w:ind w:hanging="0" w:start="1440" w:end="1440"/>
    </w:pPr>
    <w:rPr/>
  </w:style>
  <w:style w:type="paragraph" w:styleId="IndentLeft">
    <w:name w:val="Indent Left"/>
    <w:basedOn w:val="Normal"/>
    <w:qFormat/>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IndentOneHalf">
    <w:name w:val="IndentOneHalf"/>
    <w:basedOn w:val="Normal"/>
    <w:qFormat/>
    <w:pPr>
      <w:spacing w:before="0" w:after="240"/>
      <w:ind w:firstLine="720" w:start="720" w:end="0"/>
    </w:pPr>
    <w:rPr/>
  </w:style>
  <w:style w:type="paragraph" w:styleId="IndentOneInch">
    <w:name w:val="IndentOneInch"/>
    <w:basedOn w:val="Normal"/>
    <w:qFormat/>
    <w:pPr>
      <w:spacing w:before="0" w:after="240"/>
      <w:ind w:firstLine="1440" w:start="1440" w:end="0"/>
    </w:pPr>
    <w:rPr/>
  </w:style>
  <w:style w:type="paragraph" w:styleId="IndentOneOneHalfInches">
    <w:name w:val="IndentOneOneHalfInches"/>
    <w:basedOn w:val="Normal"/>
    <w:qFormat/>
    <w:pPr>
      <w:spacing w:before="0" w:after="240"/>
      <w:ind w:hanging="0" w:start="2160" w:end="0"/>
    </w:pPr>
    <w:rPr/>
  </w:style>
  <w:style w:type="paragraph" w:styleId="IndentTwoInches">
    <w:name w:val="IndentTwoInches"/>
    <w:basedOn w:val="Normal"/>
    <w:qFormat/>
    <w:pPr>
      <w:spacing w:before="0" w:after="240"/>
      <w:ind w:firstLine="1440" w:start="2880" w:end="0"/>
    </w:pPr>
    <w:rPr/>
  </w:style>
  <w:style w:type="paragraph" w:styleId="zCC">
    <w:name w:val="zCC"/>
    <w:basedOn w:val="Body"/>
    <w:qFormat/>
    <w:pPr>
      <w:ind w:hanging="720" w:start="720" w:end="0"/>
    </w:pPr>
    <w:rPr/>
  </w:style>
  <w:style w:type="paragraph" w:styleId="zMemoInfo">
    <w:name w:val="zMemoInfo"/>
    <w:basedOn w:val="Normal"/>
    <w:qFormat/>
    <w:pPr>
      <w:suppressAutoHyphens w:val="true"/>
      <w:spacing w:before="66" w:after="112"/>
      <w:jc w:val="start"/>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106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2000-08-24T20:41:00Z</dcterms:created>
  <dc:creator>Arter &amp; Hadden</dc:creator>
  <dc:description/>
  <dc:language>en-CA</dc:language>
  <cp:lastModifiedBy>Arter &amp; Hadden</cp:lastModifiedBy>
  <cp:lastPrinted>1996-01-01T18:32:00Z</cp:lastPrinted>
  <dcterms:modified xsi:type="dcterms:W3CDTF">2000-08-25T01:50:00Z</dcterms:modified>
  <cp:revision>22</cp:revision>
  <dc:subject/>
  <dc:title>ARTER &amp; HADDEN LLP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69738</vt:lpwstr>
  </property>
  <property fmtid="{D5CDD505-2E9C-101B-9397-08002B2CF9AE}" pid="3" name="DocNumber">
    <vt:lpwstr>1</vt:lpwstr>
  </property>
  <property fmtid="{D5CDD505-2E9C-101B-9397-08002B2CF9AE}" pid="4" name="DocVersion">
    <vt:lpwstr>1</vt:lpwstr>
  </property>
  <property fmtid="{D5CDD505-2E9C-101B-9397-08002B2CF9AE}" pid="5" name="Matter">
    <vt:lpwstr>00000</vt:lpwstr>
  </property>
</Properties>
</file>