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u w:val="single"/>
        </w:rPr>
      </w:pPr>
      <w:r>
        <w:rPr>
          <w:b/>
          <w:bCs/>
          <w:sz w:val="22"/>
          <w:u w:val="single"/>
        </w:rPr>
        <w:t>6-25-01 Summary of Comments</w:t>
      </w:r>
    </w:p>
    <w:p>
      <w:pPr>
        <w:pStyle w:val="Normal"/>
        <w:jc w:val="center"/>
        <w:rPr>
          <w:b/>
          <w:bCs/>
          <w:sz w:val="22"/>
          <w:u w:val="single"/>
        </w:rPr>
      </w:pPr>
      <w:r>
        <w:rPr>
          <w:b/>
          <w:bCs/>
          <w:sz w:val="22"/>
          <w:u w:val="single"/>
        </w:rPr>
        <w:t>on Draft Decisions</w:t>
      </w:r>
    </w:p>
    <w:p>
      <w:pPr>
        <w:pStyle w:val="Normal"/>
        <w:jc w:val="both"/>
        <w:rPr>
          <w:b/>
          <w:bCs/>
          <w:sz w:val="22"/>
          <w:u w:val="single"/>
        </w:rPr>
      </w:pPr>
      <w:r>
        <w:rPr>
          <w:b/>
          <w:bCs/>
          <w:sz w:val="22"/>
          <w:u w:val="single"/>
        </w:rPr>
      </w:r>
    </w:p>
    <w:p>
      <w:pPr>
        <w:pStyle w:val="Normal"/>
        <w:jc w:val="both"/>
        <w:rPr>
          <w:b/>
          <w:bCs/>
          <w:sz w:val="22"/>
          <w:u w:val="single"/>
        </w:rPr>
      </w:pPr>
      <w:r>
        <w:rPr>
          <w:b/>
          <w:bCs/>
          <w:sz w:val="22"/>
          <w:u w:val="single"/>
        </w:rPr>
      </w:r>
    </w:p>
    <w:p>
      <w:pPr>
        <w:pStyle w:val="Heading2"/>
        <w:ind w:hanging="0" w:start="0"/>
        <w:rPr>
          <w:sz w:val="22"/>
        </w:rPr>
      </w:pPr>
      <w:r>
        <w:rPr>
          <w:sz w:val="22"/>
        </w:rPr>
        <w:t>Edison</w:t>
      </w:r>
    </w:p>
    <w:p>
      <w:pPr>
        <w:pStyle w:val="Heading1Text"/>
        <w:spacing w:lineRule="auto" w:line="240"/>
        <w:ind w:hanging="0" w:end="0"/>
        <w:jc w:val="both"/>
        <w:rPr>
          <w:rFonts w:ascii="Times New Roman" w:hAnsi="Times New Roman" w:cs="Times New Roman"/>
          <w:sz w:val="22"/>
        </w:rPr>
      </w:pPr>
      <w:r>
        <w:rPr>
          <w:rFonts w:cs="Times New Roman" w:ascii="Times New Roman" w:hAnsi="Times New Roman"/>
          <w:sz w:val="22"/>
        </w:rPr>
        <w:t>SCE is pleased that both the PD and Alternate PD approve SCE’s decision in January 2001 to suspend cash payments of direct access bill credits to ESPs and direct access customers.  SCE took this action for exactly the reasons noted in the proposed decisions:  to conserve utility cash in order to perform its primary duty of ensuring reliable electric service.  SCE will continue to manage its available cash with that priority in mind for the duration of this financial crisis.</w:t>
      </w:r>
    </w:p>
    <w:p>
      <w:pPr>
        <w:pStyle w:val="Heading1Text"/>
        <w:spacing w:lineRule="auto" w:line="240"/>
        <w:ind w:hanging="0" w:end="0"/>
        <w:jc w:val="both"/>
        <w:rPr>
          <w:rFonts w:ascii="Times New Roman" w:hAnsi="Times New Roman" w:cs="Times New Roman"/>
          <w:sz w:val="22"/>
        </w:rPr>
      </w:pPr>
      <w:r>
        <w:rPr>
          <w:rFonts w:cs="Times New Roman" w:ascii="Times New Roman" w:hAnsi="Times New Roman"/>
          <w:sz w:val="22"/>
        </w:rPr>
      </w:r>
    </w:p>
    <w:p>
      <w:pPr>
        <w:pStyle w:val="Heading1Text"/>
        <w:spacing w:lineRule="auto" w:line="240"/>
        <w:ind w:hanging="0" w:end="0"/>
        <w:jc w:val="both"/>
        <w:rPr/>
      </w:pPr>
      <w:r>
        <w:rPr>
          <w:rFonts w:cs="Times New Roman" w:ascii="Times New Roman" w:hAnsi="Times New Roman"/>
          <w:sz w:val="22"/>
        </w:rPr>
        <w:t xml:space="preserve">Edison references the draft decisions’ conclusion that the utility is subsidizing direct access.  In fact, </w:t>
      </w:r>
      <w:r>
        <w:rPr>
          <w:rFonts w:cs="Times New Roman" w:ascii="Times New Roman" w:hAnsi="Times New Roman"/>
          <w:bCs/>
          <w:sz w:val="22"/>
        </w:rPr>
        <w:t>if</w:t>
      </w:r>
      <w:r>
        <w:rPr>
          <w:rFonts w:cs="Times New Roman" w:ascii="Times New Roman" w:hAnsi="Times New Roman"/>
          <w:sz w:val="22"/>
        </w:rPr>
        <w:t xml:space="preserve"> the energy credits and their resulting impact on utility costs are correctly calculated and recovered, there should be </w:t>
      </w:r>
      <w:r>
        <w:rPr>
          <w:rFonts w:cs="Times New Roman" w:ascii="Times New Roman" w:hAnsi="Times New Roman"/>
          <w:sz w:val="22"/>
          <w:u w:val="single"/>
        </w:rPr>
        <w:t>no</w:t>
      </w:r>
      <w:r>
        <w:rPr>
          <w:rFonts w:cs="Times New Roman" w:ascii="Times New Roman" w:hAnsi="Times New Roman"/>
          <w:sz w:val="22"/>
        </w:rPr>
        <w:t xml:space="preserve"> subsidy.  Edison compares hypothetical direct access and bundled customers and concludes that, “the concept of an ‘unlimited’ credit is not the problem.  This customer, whether continuing to take bundled service or electing direct access, would contribute the same amount to the recovery of SCE’s non-generation costs and under-collection of energy procurement costs.”  </w:t>
      </w:r>
    </w:p>
    <w:p>
      <w:pPr>
        <w:pStyle w:val="Heading1Text"/>
        <w:spacing w:lineRule="auto" w:line="240"/>
        <w:ind w:hanging="0" w:end="0"/>
        <w:jc w:val="both"/>
        <w:rPr>
          <w:rFonts w:ascii="Times New Roman" w:hAnsi="Times New Roman" w:cs="Times New Roman"/>
          <w:sz w:val="22"/>
        </w:rPr>
      </w:pPr>
      <w:r>
        <w:rPr>
          <w:rFonts w:cs="Times New Roman" w:ascii="Times New Roman" w:hAnsi="Times New Roman"/>
          <w:sz w:val="22"/>
        </w:rPr>
      </w:r>
    </w:p>
    <w:p>
      <w:pPr>
        <w:pStyle w:val="Heading1Text"/>
        <w:spacing w:lineRule="auto" w:line="240"/>
        <w:ind w:hanging="0" w:end="0"/>
        <w:jc w:val="both"/>
        <w:rPr>
          <w:rFonts w:ascii="Times New Roman" w:hAnsi="Times New Roman" w:cs="Times New Roman"/>
          <w:sz w:val="22"/>
        </w:rPr>
      </w:pPr>
      <w:r>
        <w:rPr>
          <w:rFonts w:cs="Times New Roman" w:ascii="Times New Roman" w:hAnsi="Times New Roman"/>
          <w:sz w:val="22"/>
        </w:rPr>
        <w:t>Edison says that if properly done, and if the utility’s procurement cost undercollection can be recovered on a timely basis, a crediting mechanism achieves a number of objectives.  First, direct access customers will not abandon ESP service whenever wholesale power costs are high.  Second, the utility can legitimately offer the full credit on the basis of its total avoided cost.  Third, no subsidy of direct access customers by bundled service customers occurs as long as SCE’s procurement cost undercollections are recovered from all customers on a non-bypassable basis.</w:t>
      </w:r>
    </w:p>
    <w:p>
      <w:pPr>
        <w:pStyle w:val="Heading1Text"/>
        <w:spacing w:lineRule="auto" w:line="240"/>
        <w:ind w:hanging="0" w:end="0"/>
        <w:jc w:val="both"/>
        <w:rPr>
          <w:rFonts w:ascii="Times New Roman" w:hAnsi="Times New Roman" w:cs="Times New Roman"/>
          <w:sz w:val="22"/>
        </w:rPr>
      </w:pPr>
      <w:r>
        <w:rPr>
          <w:rFonts w:cs="Times New Roman" w:ascii="Times New Roman" w:hAnsi="Times New Roman"/>
          <w:sz w:val="22"/>
        </w:rPr>
      </w:r>
    </w:p>
    <w:p>
      <w:pPr>
        <w:pStyle w:val="Heading1Text"/>
        <w:spacing w:lineRule="auto" w:line="240"/>
        <w:ind w:hanging="0" w:end="0"/>
        <w:jc w:val="both"/>
        <w:rPr>
          <w:rFonts w:ascii="Times New Roman" w:hAnsi="Times New Roman" w:cs="Times New Roman"/>
          <w:sz w:val="22"/>
        </w:rPr>
      </w:pPr>
      <w:r>
        <w:rPr>
          <w:rFonts w:cs="Times New Roman" w:ascii="Times New Roman" w:hAnsi="Times New Roman"/>
          <w:sz w:val="22"/>
        </w:rPr>
        <w:t>Edison also states that both the PD and Alternate PD suggest that neither the stipulation nor D.99-06-058 require cash refunds to DA customers.  SCE suggests that the Commission need not reach this issue and cites the SCE, APSES and Enron agreement that if the SCE-DWR memorandum of understanding is implemented and Advice Letter 1529-E-B proposing the PE credit is adopted (in some form acceptable to SCE), then SCE is prepared to make cash payments based on specified energy credit calculations.  Edison says the stipulations represent SCE’s willingness to make cash payments at some point in the future when its cash position improves – and if SCE is assured recovery of such payments.  With those assurances, SCE is not opposed to making cash payments to DA customers.</w:t>
      </w:r>
    </w:p>
    <w:p>
      <w:pPr>
        <w:pStyle w:val="Heading1Text"/>
        <w:spacing w:lineRule="auto" w:line="240"/>
        <w:ind w:hanging="0" w:end="0"/>
        <w:jc w:val="both"/>
        <w:rPr>
          <w:rFonts w:ascii="Times New Roman" w:hAnsi="Times New Roman" w:cs="Times New Roman"/>
          <w:sz w:val="22"/>
        </w:rPr>
      </w:pPr>
      <w:r>
        <w:rPr>
          <w:rFonts w:cs="Times New Roman" w:ascii="Times New Roman" w:hAnsi="Times New Roman"/>
          <w:sz w:val="22"/>
        </w:rPr>
      </w:r>
    </w:p>
    <w:p>
      <w:pPr>
        <w:pStyle w:val="FootnoteText"/>
        <w:tabs>
          <w:tab w:val="clear" w:pos="360"/>
        </w:tabs>
        <w:ind w:hanging="0" w:start="0" w:end="0"/>
        <w:rPr>
          <w:rFonts w:ascii="Times New Roman" w:hAnsi="Times New Roman" w:cs="Times New Roman"/>
          <w:sz w:val="22"/>
        </w:rPr>
      </w:pPr>
      <w:r>
        <w:rPr>
          <w:rFonts w:cs="Times New Roman" w:ascii="Times New Roman" w:hAnsi="Times New Roman"/>
          <w:sz w:val="22"/>
        </w:rPr>
        <w:t xml:space="preserve">With regard to DA suspension, SCE does not see the need to act so abruptly on this issue.  The approach taken in the Alternate PD is preferable. SCE believes that the problem of leaving and returning customers can be solved through appropriate, non-bypassable charges and limited time windows in which status changes can be made. Given the fact that the Legislature is right now wrestling with the future of direct access, among other issues, it would seem premature to act immediately.  Even the June 12 memo does not request that relief.  At a minimum, section 80110 gives the Commission time to act when the legislative terrain on the subject of direct access is more certain.  </w:t>
      </w:r>
    </w:p>
    <w:p>
      <w:pPr>
        <w:pStyle w:val="FootnoteText"/>
        <w:ind w:hanging="0" w:start="0" w:end="0"/>
        <w:rPr>
          <w:rFonts w:ascii="Times New Roman" w:hAnsi="Times New Roman" w:cs="Times New Roman"/>
          <w:sz w:val="22"/>
        </w:rPr>
      </w:pPr>
      <w:r>
        <w:rPr>
          <w:rFonts w:cs="Times New Roman" w:ascii="Times New Roman" w:hAnsi="Times New Roman"/>
          <w:sz w:val="22"/>
        </w:rPr>
      </w:r>
    </w:p>
    <w:p>
      <w:pPr>
        <w:pStyle w:val="FootnoteText"/>
        <w:ind w:hanging="0" w:start="0" w:end="0"/>
        <w:jc w:val="both"/>
        <w:rPr>
          <w:rFonts w:ascii="Times New Roman" w:hAnsi="Times New Roman" w:cs="Times New Roman"/>
          <w:sz w:val="22"/>
        </w:rPr>
      </w:pPr>
      <w:r>
        <w:rPr>
          <w:rFonts w:cs="Times New Roman" w:ascii="Times New Roman" w:hAnsi="Times New Roman"/>
          <w:sz w:val="22"/>
        </w:rPr>
        <w:t>Finally, SCE also supports bottoms-up rate methodology for DA customers, with the qualification that the Commission must make it clear that DA customers are nevertheless are responsible for their share of CTC and procurement undercollection to the same extent as bundled service customers are ultimately required to pay.</w:t>
      </w:r>
    </w:p>
    <w:p>
      <w:pPr>
        <w:pStyle w:val="Normal"/>
        <w:jc w:val="both"/>
        <w:rPr>
          <w:rFonts w:ascii="Times New Roman" w:hAnsi="Times New Roman" w:cs="Times New Roman"/>
          <w:b/>
          <w:bCs/>
          <w:sz w:val="22"/>
          <w:u w:val="single"/>
        </w:rPr>
      </w:pPr>
      <w:r>
        <w:rPr>
          <w:rFonts w:cs="Times New Roman"/>
          <w:b/>
          <w:bCs/>
          <w:sz w:val="22"/>
          <w:u w:val="single"/>
        </w:rPr>
      </w:r>
    </w:p>
    <w:p>
      <w:pPr>
        <w:pStyle w:val="Normal"/>
        <w:jc w:val="both"/>
        <w:rPr>
          <w:sz w:val="22"/>
        </w:rPr>
      </w:pPr>
      <w:r>
        <w:rPr>
          <w:b/>
          <w:bCs/>
          <w:sz w:val="22"/>
          <w:u w:val="single"/>
        </w:rPr>
        <w:t>FEA re Bilas</w:t>
      </w:r>
    </w:p>
    <w:p>
      <w:pPr>
        <w:pStyle w:val="BodyText"/>
        <w:tabs>
          <w:tab w:val="clear" w:pos="720"/>
          <w:tab w:val="left" w:pos="728" w:leader="none"/>
        </w:tabs>
        <w:spacing w:lineRule="auto" w:line="240"/>
        <w:ind w:firstLine="26" w:start="-26" w:end="-26"/>
        <w:rPr>
          <w:rFonts w:ascii="Times New Roman" w:hAnsi="Times New Roman" w:cs="Times New Roman"/>
        </w:rPr>
      </w:pPr>
      <w:r>
        <w:rPr>
          <w:rFonts w:cs="Times New Roman" w:ascii="Times New Roman" w:hAnsi="Times New Roman"/>
        </w:rPr>
        <w:t xml:space="preserve">FEA urges the Commission to deny the Edison motion and to find that continued cash payments to DA customers are appropriate.  </w:t>
      </w:r>
    </w:p>
    <w:p>
      <w:pPr>
        <w:pStyle w:val="Normal"/>
        <w:jc w:val="both"/>
        <w:rPr>
          <w:rFonts w:ascii="Times New Roman" w:hAnsi="Times New Roman" w:cs="Times New Roman"/>
          <w:sz w:val="22"/>
        </w:rPr>
      </w:pPr>
      <w:r>
        <w:rPr>
          <w:rFonts w:cs="Times New Roman"/>
          <w:sz w:val="22"/>
        </w:rPr>
      </w:r>
    </w:p>
    <w:p>
      <w:pPr>
        <w:pStyle w:val="Normal"/>
        <w:jc w:val="both"/>
        <w:rPr>
          <w:sz w:val="22"/>
        </w:rPr>
      </w:pPr>
      <w:r>
        <w:rPr>
          <w:sz w:val="22"/>
        </w:rPr>
        <w:t xml:space="preserve">On the issue of the availability of direct access, FEA supports the approach taken in the ADD with respect to its solicitation of input on how the DA issue should be approached.  </w:t>
      </w:r>
    </w:p>
    <w:p>
      <w:pPr>
        <w:pStyle w:val="Normal"/>
        <w:jc w:val="both"/>
        <w:rPr>
          <w:sz w:val="22"/>
        </w:rPr>
      </w:pPr>
      <w:r>
        <w:rPr>
          <w:sz w:val="22"/>
        </w:rPr>
      </w:r>
    </w:p>
    <w:p>
      <w:pPr>
        <w:pStyle w:val="Normal"/>
        <w:jc w:val="both"/>
        <w:rPr>
          <w:sz w:val="22"/>
        </w:rPr>
      </w:pPr>
      <w:r>
        <w:rPr>
          <w:sz w:val="22"/>
        </w:rPr>
        <w:t>FEA believes it is clear that the details of the DWR contracts must be known in order to make an informed decision about DA.  For example, it would be important to know the extent to which existing DWR contracts, or contract commitments, cover the entire “net-short” position of the utilities.  It would also be important to understand the flexibility built into the DWR contracts.  In particular, contract duration, the magnitude of supplies contracted for, minimum/maximum take obligations, the timing of the take obligations, and other contractual provisions are important in reaching a decision about the role that DA should play in the California marketplace.  The only way properly to address this issue is for DWR to file all such contracts and sworn testimony describing the contracts as well as DWR’s other plans for meeting its obligations in a proceeding before this Commission.  Therefore, FEA urges the Commission immediately to docket and call a pre-hearing conference for the purpose of establishing evidentiary hearings that would allow a full analysis and review of DWR contracts and their implications for direct access.</w:t>
      </w:r>
    </w:p>
    <w:p>
      <w:pPr>
        <w:pStyle w:val="Normal"/>
        <w:jc w:val="both"/>
        <w:rPr>
          <w:sz w:val="22"/>
        </w:rPr>
      </w:pPr>
      <w:r>
        <w:rPr>
          <w:sz w:val="22"/>
        </w:rPr>
      </w:r>
    </w:p>
    <w:p>
      <w:pPr>
        <w:pStyle w:val="Normal"/>
        <w:jc w:val="both"/>
        <w:rPr>
          <w:sz w:val="22"/>
        </w:rPr>
      </w:pPr>
      <w:r>
        <w:rPr>
          <w:sz w:val="22"/>
        </w:rPr>
        <w:t>FEA also urges the Commission to not set for comments the proposal for calculating “bottoms-up” non-procurement costs.  FEA opposes this approach while the rate freeze is still in effect.  This is perfectly appropriate for the period of time after the rate freeze, and is the approach currently employed for SDG&amp;E.  It is not appropriate for PG&amp;E and Edison because of the frozen tariff rates and because customers of PG&amp;E and Edison who take responsibility for their own electricity procurement allow the utility to avoid similar procurement costs of the same (or similar) magnitude.</w:t>
      </w:r>
    </w:p>
    <w:p>
      <w:pPr>
        <w:pStyle w:val="Normal"/>
        <w:jc w:val="both"/>
        <w:rPr>
          <w:sz w:val="22"/>
        </w:rPr>
      </w:pPr>
      <w:r>
        <w:rPr>
          <w:sz w:val="22"/>
        </w:rPr>
      </w:r>
    </w:p>
    <w:p>
      <w:pPr>
        <w:pStyle w:val="Heading1"/>
        <w:ind w:hanging="0" w:start="0"/>
        <w:jc w:val="both"/>
        <w:rPr>
          <w:rFonts w:ascii="Times New Roman" w:hAnsi="Times New Roman" w:cs="Times New Roman"/>
          <w:sz w:val="22"/>
        </w:rPr>
      </w:pPr>
      <w:r>
        <w:rPr>
          <w:rFonts w:cs="Times New Roman" w:ascii="Times New Roman" w:hAnsi="Times New Roman"/>
          <w:sz w:val="22"/>
        </w:rPr>
        <w:t>FEA re Barnett</w:t>
      </w:r>
    </w:p>
    <w:p>
      <w:pPr>
        <w:pStyle w:val="Normal"/>
        <w:jc w:val="both"/>
        <w:rPr>
          <w:sz w:val="22"/>
        </w:rPr>
      </w:pPr>
      <w:r>
        <w:rPr>
          <w:sz w:val="22"/>
        </w:rPr>
        <w:t>FEA strongly disagrees with the proposal to suspend credits to DA customers.  To the extent that these customers are incurring procurement costs under separate contractual arrangements, they should not be required to pay the procurement costs that Edison, and the other utilities, avoid as a result of the DA customers not relying upon the utilities for procurement services.</w:t>
      </w:r>
    </w:p>
    <w:p>
      <w:pPr>
        <w:pStyle w:val="Normal"/>
        <w:jc w:val="both"/>
        <w:rPr>
          <w:sz w:val="22"/>
        </w:rPr>
      </w:pPr>
      <w:r>
        <w:rPr>
          <w:sz w:val="22"/>
        </w:rPr>
      </w:r>
    </w:p>
    <w:p>
      <w:pPr>
        <w:pStyle w:val="Normal"/>
        <w:jc w:val="both"/>
        <w:rPr>
          <w:sz w:val="22"/>
        </w:rPr>
      </w:pPr>
      <w:r>
        <w:rPr>
          <w:sz w:val="22"/>
        </w:rPr>
        <w:t>FEA finds it incredible that Barnett says the utility is subsidizing direct access.  There is absolutely no foundation for this statement and it is absolutely incorrect.  There is no subsidy being conferred on the DA customers.</w:t>
      </w:r>
    </w:p>
    <w:p>
      <w:pPr>
        <w:pStyle w:val="Normal"/>
        <w:jc w:val="both"/>
        <w:rPr>
          <w:sz w:val="22"/>
        </w:rPr>
      </w:pPr>
      <w:r>
        <w:rPr>
          <w:sz w:val="22"/>
        </w:rPr>
      </w:r>
    </w:p>
    <w:p>
      <w:pPr>
        <w:pStyle w:val="Normal"/>
        <w:jc w:val="both"/>
        <w:rPr>
          <w:sz w:val="22"/>
        </w:rPr>
      </w:pPr>
      <w:r>
        <w:rPr>
          <w:sz w:val="22"/>
        </w:rPr>
        <w:t xml:space="preserve">With regard to DA suspension, there is nothing in the DD which justifies, or even states, why a date of July 1, 2001 should be selected for the foreclosure of new DA transactions.  There is no evidentiary basis for this date, or any other date.  In fact, there is no evidentiary basis for anything pertaining to this issue since no hearings have been held and parties have not been given the opportunity to offer testimony, cross examine witnesses and properly brief this question.  The issue has not even been noticed for comment by interested parties. Adoption of the DD would be tantamount to denial of due process to all parties.   </w:t>
      </w:r>
    </w:p>
    <w:p>
      <w:pPr>
        <w:pStyle w:val="Normal"/>
        <w:jc w:val="both"/>
        <w:rPr>
          <w:sz w:val="22"/>
        </w:rPr>
      </w:pPr>
      <w:r>
        <w:rPr>
          <w:sz w:val="22"/>
        </w:rPr>
      </w:r>
    </w:p>
    <w:p>
      <w:pPr>
        <w:pStyle w:val="Heading2"/>
        <w:ind w:hanging="0" w:start="0"/>
        <w:rPr>
          <w:sz w:val="22"/>
        </w:rPr>
      </w:pPr>
      <w:r>
        <w:rPr>
          <w:sz w:val="22"/>
        </w:rPr>
        <w:t>CLECA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CLECA offers its, “protest to this continuing breach of the Commission’s rules and of its duty to give important issues its full consideration.”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Given the enormous effort by all concerned in several proceedings over several years, and the billions of dollars of stranded costs that have been paid by consumers to put direct access in place, one would think that the decision to suspend it would be a little more thoughtful.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CLECA agrees that the Commission should suspend payment of PX credits.  The filing says that, “CLECA was astonished when the Commission issued D.99-06-058 approving the stipulation between the utilities and the ESPs that changed the prior practice and created the situation in which utilities could actually be required to make payments to ESPs when the PX energy credit rose.  No customers asked for the change effected by D.99-06-058 and it remains unclear why the Commission found it necessary.  Indeed, had the rules been left as they were originally, ESPs would have had to purchase hedges to mitigate against the risk of rising PX prices, rather than serving customers solely with PX power as they now claim was their actual practice.  This, in turn, might have prevented the ESPs’ perceived need to dump all of the direct access customers when the combination of high PX prices and utility credit problems arose last December.  The Commission’s decision thus harmed the direct access market rather than helping it, and caused less power, rather than more, to be purchased under fixed price wholesale contracts with the stability that they would have brought to the market.”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As to the subsidy issue, CLECA agrees that ESPs were subsidized, but not customers:  “The payment of a PX energy credit well in excess of the frozen rate level subsidized the ESPs, not the customers, because the credit went to the ESPs when they were contractually obligated to price their power to the customers no higher than frozen rate levels.  The Commission’s rule simply transferred risk the ESPs had already assumed contractually, to the utilities.  It made no sense at the time and it makes no sense today.  For this reason, CLECA supports the suspension.”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BodyText"/>
        <w:spacing w:lineRule="auto" w:line="240"/>
        <w:rPr>
          <w:rFonts w:ascii="Times New Roman" w:hAnsi="Times New Roman" w:cs="Times New Roman"/>
        </w:rPr>
      </w:pPr>
      <w:r>
        <w:rPr>
          <w:rFonts w:cs="Times New Roman" w:ascii="Times New Roman" w:hAnsi="Times New Roman"/>
        </w:rPr>
        <w:t xml:space="preserve">CLECA indirectly supports a bottoms-up calculation, saying that, “We also note that this entire question becomes moot once the rate freeze is lifted.  Then, the utilities will simply charge for T&amp;D services and leave the energy price entirely to the customer and its ESP.  The sooner we move to that model, the better.  But, the DD also would prevent us from moving to a more rational direct access program; rather, it would eliminate the entire program.” </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CLECA supports the Bilas approach regarding DA suspension and notes the ongoing efforts in Sacramento:  “The Commission’s precipitous elimination of direct access dooms those discussions to failure, and is likely to cause Edison to choose bankruptcy because no other legislative solutions appear possible.  For this reason alone, the Commission should reject the DD approach and choose instead the Bilas ADD.”</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b/>
          <w:bCs/>
          <w:u w:val="single"/>
        </w:rPr>
        <w:t>CMTA</w:t>
      </w:r>
    </w:p>
    <w:p>
      <w:pPr>
        <w:pStyle w:val="BodyText"/>
        <w:spacing w:lineRule="auto" w:line="240"/>
        <w:rPr>
          <w:rFonts w:ascii="Times New Roman" w:hAnsi="Times New Roman" w:cs="Times New Roman"/>
        </w:rPr>
      </w:pPr>
      <w:r>
        <w:rPr>
          <w:rFonts w:cs="Times New Roman" w:ascii="Times New Roman" w:hAnsi="Times New Roman"/>
        </w:rPr>
        <w:t>CMTA attacks the Barnett decision, saying that it is badly flawed, would introduce additional, unnecessary confusion into the markets and should be rejected.  In contrast, the Alternate Decision would address the issues in a more moderate and appropriate manner by suspending cash payments, but not suspending direct access.  CMTA urges the Commission to adopt the Alternate Decision.  If the Commission nevertheless decides to adopt the PD, it should modify the grandfathering provision to clarify that all customers taking direct access on or before July 1, 2001, may continue to take direct access even if they execute new contracts.  As to the PX credit, the finding there is a subsidy of DA customers is flawed.  CMTA does not repeat the CLECA allegation that ESPs are subsidized.</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DA should not be suspended.  Sacramento is crafting alternate solutions, customers need alternative means for procuring energy supplies and suspending DA simply increases the burden on DWR.  Bilas asks whether less onerous conditions can resolve the concerns.  CMTA believes that exit fees and similar mechanisms are available and would allow the bonds to be issued without any need to suspend direct access.  Rather than suspend direct access, the Commission should explore whether conditions on direct access are appropriate and, if so, what conditions should be imposed.  The Barnett decision would suspend direct access and thereby deprive retail customers of a valuable tool for making electric supply arrangements.  That would result in further confusion in an already dysfunctional market and, perversely, would suspend a device that has the capability of hastening a greater degree of competition.</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b/>
          <w:bCs/>
          <w:u w:val="single"/>
        </w:rPr>
        <w:t>ACWA</w:t>
      </w:r>
    </w:p>
    <w:p>
      <w:pPr>
        <w:pStyle w:val="Normal"/>
        <w:keepNext w:val="true"/>
        <w:keepLines/>
        <w:jc w:val="both"/>
        <w:rPr>
          <w:sz w:val="22"/>
        </w:rPr>
      </w:pPr>
      <w:r>
        <w:rPr>
          <w:sz w:val="22"/>
        </w:rPr>
        <w:t xml:space="preserve">The Angelides memo raises an obvious question: why would so many customers stop purchasing DWR electricity?  It would only happen if DWR purchased electricity at more expensive prices than customers can purchase it for themselves.  If DWR did a good job and purchased for less than customers could there would be no problem.  Therein lies the crux of the matter.  The PUC used to have a prudency and a reasonableness requirement.  If the utilities had purchased electricity they were subject to prudency reviews.  They were subject to reasonableness reviews.  Where is the prudency review of the state’s purchases?  Where is the reasonableness review of the state’s purchases?  Answer: there is none.  The state can purchase electricity at any cost and automatically roll the cost of those purchases over to the residents of the state with no review by any regulatory authority.  </w:t>
      </w:r>
    </w:p>
    <w:p>
      <w:pPr>
        <w:pStyle w:val="Normal"/>
        <w:keepNext w:val="true"/>
        <w:keepLines/>
        <w:jc w:val="both"/>
        <w:rPr>
          <w:sz w:val="22"/>
        </w:rPr>
      </w:pPr>
      <w:r>
        <w:rPr>
          <w:sz w:val="22"/>
        </w:rPr>
      </w:r>
    </w:p>
    <w:p>
      <w:pPr>
        <w:pStyle w:val="Normal"/>
        <w:keepNext w:val="true"/>
        <w:keepLines/>
        <w:jc w:val="both"/>
        <w:rPr>
          <w:sz w:val="22"/>
        </w:rPr>
      </w:pPr>
      <w:r>
        <w:rPr>
          <w:sz w:val="22"/>
        </w:rPr>
        <w:t>The state has not only asked the CPUC to abandon it's charter to protect the ratepayers from excessive costs, it is now asking the CPUC to negate the single remaining avenue of accountability for the state - the ability of individual ratepayers to purchase electricity from the supplier of their choice.  Simply put, without any CPUC review or oversight of DWR costs, if CPUC prohibits direct access, DWR will have carte blanche to do whatever it wants to do at whatever costs they alone deem reasonable.</w:t>
      </w:r>
    </w:p>
    <w:p>
      <w:pPr>
        <w:pStyle w:val="Normal"/>
        <w:keepNext w:val="true"/>
        <w:keepLines/>
        <w:jc w:val="both"/>
        <w:rPr>
          <w:sz w:val="22"/>
        </w:rPr>
      </w:pPr>
      <w:r>
        <w:rPr>
          <w:sz w:val="22"/>
        </w:rPr>
      </w:r>
    </w:p>
    <w:p>
      <w:pPr>
        <w:pStyle w:val="Heading1"/>
        <w:keepLines/>
        <w:ind w:hanging="0" w:start="0"/>
        <w:jc w:val="both"/>
        <w:rPr>
          <w:rFonts w:ascii="Times New Roman" w:hAnsi="Times New Roman" w:cs="Times New Roman"/>
          <w:sz w:val="22"/>
        </w:rPr>
      </w:pPr>
      <w:r>
        <w:rPr>
          <w:rFonts w:cs="Times New Roman" w:ascii="Times New Roman" w:hAnsi="Times New Roman"/>
          <w:sz w:val="22"/>
        </w:rPr>
        <w:t>CIU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CIU supports the alternate draft decision of Commissioner Bilas insofar as it does not rush to judgment on the issue of suspension of direct access.  CIU agrees that the Commission retains discretion as to the timing of such suspension and believes that suspension need not happen immediately.  At least two significant events that affect the timing of the suspension of direct access have occurred since the passage of AB 1X.  First, FERC recently expanded its market mitigation order in a manner which it is hoped will provide further relief for high wholesale prices.  Lower prices should also assist both DWR and the utilities in obtaining long term contracts, which is the only rationale given in the DD for the timing of the suspension of direct access.  The second point is that it is common public knowledge that discussions with various interest groups are ongoing at the legislature to deal with Edison’s financial condition, and that the continued existence of direct access for larger customers is under consideration as part of an overall solution to Edison’s financial challenges.  With the timing of suspension less critical, it only makes good sense to wait for the result of these legislative activities.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Also, direct access is still the law in California, under PU Code Section 365(b)(1).  There should be no implication that direct access is terminated rather than suspended.  The Commission has no authority to end direct access, because PU Code Section 365(b)(1) clearly still grants utility customers a right to seek power from non-utility providers.  Instead, under AB 1X, the Commission is directed, after choosing a date which is within its discretion, to “suspend” direct access.  The Barnett decision does not draw this distinction clearly.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Heading1"/>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rFonts w:ascii="Times New Roman" w:hAnsi="Times New Roman" w:cs="Times New Roman"/>
          <w:sz w:val="22"/>
        </w:rPr>
      </w:pPr>
      <w:r>
        <w:rPr>
          <w:rFonts w:cs="Times New Roman" w:ascii="Times New Roman" w:hAnsi="Times New Roman"/>
          <w:sz w:val="22"/>
        </w:rPr>
        <w:t>Green Mountain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 xml:space="preserve">Green Mountain opposes the Draft Decision and urges the Commission not to adopt it.  Green Mountain recommends that the Bilas decision be adopted, with a modification to Conclusion of Law 2 to provide that SCE should not make cash payment to direct access customers to satisfy the PX credit, but should continue to track and accrue credits for such customers </w:t>
      </w:r>
      <w:r>
        <w:rPr>
          <w:bCs/>
          <w:sz w:val="22"/>
        </w:rPr>
        <w:t>and use any balances to offset charges in subsequent months’ bills.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Cs/>
          <w:sz w:val="22"/>
        </w:rPr>
      </w:pPr>
      <w:r>
        <w:rPr>
          <w:bCs/>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The Draft Decision fails to acknowledge that the utility always has an equal and offsetting savings to go along with the PX credit.  The Draft Decision therefore arrives at the erroneous conclusion that the utilities are somehow subsidizing direct access.  This is simply not true.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The utilities are not currently paying cash for credits owed to Green Mountain customers, have not done so since February 2001, and never had a policy to do so routinely.  Any attempt or order to change the way the utilities track those credits and apply them to future bills would be a retroactive taking of money legitimately owed to Green Mountain customers and would represent a subsidy of the utility shareholders by California residential customers.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With regard to DA suspension, the Commission should work with the Legislature to devise a mechanism for allowing direct access to continue, and for ensuring that the DWR bonds will not be affected by direct access.  Second, the Commission should immediately implement its own proceeding to ascertain the State’s revenue requirement and ensure that the State recovers its costs.  Green Mountain also endorses a bottom’s up approach.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bCs w:val="false"/>
          <w:sz w:val="22"/>
        </w:rPr>
      </w:pPr>
      <w:r>
        <w:rPr>
          <w:bCs w:val="false"/>
          <w:sz w:val="22"/>
        </w:rPr>
        <w:t>Golden State Power Cooperative</w:t>
      </w:r>
    </w:p>
    <w:p>
      <w:pPr>
        <w:pStyle w:val="BodyText"/>
        <w:spacing w:lineRule="auto" w:line="240"/>
        <w:rPr/>
      </w:pPr>
      <w:r>
        <w:rPr>
          <w:rFonts w:cs="Times New Roman" w:ascii="Times New Roman" w:hAnsi="Times New Roman"/>
        </w:rPr>
        <w:t>GSPC believes that direct access provides many important benefits to energy consumers and should not be eliminated as an option, either by an outright ban or by huge exit fees that end direct access by making it economically unattractive.  GSPC asks that if the Commission does end provision of direct-access services by commercial entities, that non-profit consumer-owned organizations that acquire their own generation assets be allowed to continue to offer this option to their members.  These organizations have the strongest incentive to keep power costs low to their customers-owners, even stronger than the electric utilities and the Department of Water Resources.  The state should make every effort to encourage these organizations to develop energy resources.</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b/>
          <w:bCs/>
          <w:u w:val="single"/>
        </w:rPr>
        <w:t>UC-CSU</w:t>
      </w:r>
    </w:p>
    <w:p>
      <w:pPr>
        <w:pStyle w:val="BodyText"/>
        <w:spacing w:lineRule="auto" w:line="240"/>
        <w:rPr>
          <w:rFonts w:ascii="Times New Roman" w:hAnsi="Times New Roman" w:cs="Times New Roman"/>
        </w:rPr>
      </w:pPr>
      <w:r>
        <w:rPr>
          <w:rFonts w:cs="Times New Roman" w:ascii="Times New Roman" w:hAnsi="Times New Roman"/>
        </w:rPr>
        <w:t>The Commission should allow consumers with current direct access contracts, such as UC/CSU, to continue to be eligible for direct access service.  Any attempt by the Commission to suspend, abrogate, or otherwise modify the rights set forth in existing contracts would involve the Commission in disputes far outside the focus needed by the Commission at this time.  Moreover, allowing customers with existing contracts to pursue direct access without hindrance from the Commission recognizes the steps that such customers have taken to obtain and maintain their rights to date and for the future.  DA also reduces the amount of electricity that must be purchased by the DWR.</w:t>
      </w:r>
    </w:p>
    <w:p>
      <w:pPr>
        <w:pStyle w:val="BodyText"/>
        <w:spacing w:lineRule="auto" w:line="240"/>
        <w:rPr>
          <w:rFonts w:ascii="Times New Roman" w:hAnsi="Times New Roman" w:cs="Times New Roman"/>
        </w:rPr>
      </w:pPr>
      <w:r>
        <w:rPr>
          <w:rFonts w:cs="Times New Roman" w:ascii="Times New Roman" w:hAnsi="Times New Roman"/>
        </w:rPr>
      </w:r>
    </w:p>
    <w:p>
      <w:pPr>
        <w:pStyle w:val="Heading3"/>
        <w:ind w:hanging="0" w:start="0"/>
        <w:rPr/>
      </w:pPr>
      <w:r>
        <w:rPr/>
        <w:t>BART</w:t>
      </w:r>
    </w:p>
    <w:p>
      <w:pPr>
        <w:pStyle w:val="BodyText"/>
        <w:spacing w:lineRule="auto" w:line="240"/>
        <w:rPr>
          <w:rFonts w:ascii="Times New Roman" w:hAnsi="Times New Roman" w:cs="Times New Roman"/>
        </w:rPr>
      </w:pPr>
      <w:r>
        <w:rPr>
          <w:rFonts w:cs="Times New Roman" w:ascii="Times New Roman" w:hAnsi="Times New Roman"/>
        </w:rPr>
        <w:t>The Barnett Draft should be rejected because, by venturing beyond the relief sought by the SCE Request and suspending direct access effective July 1, 2001, it decides a matter that has not been raised before the Commission for decision in this proceeding. The Bilas Alternate represents a sensible approach to the requirements of Section 80110 of the Water Code.  In order to provide careful consideration of the suspension issue, BART suggests that the Bilas Alternate be revised to provide for an expedited proceeding to address compliance with Section 80110 and the concerns of state officials with regard to revenue bonds, without suspending direct access.  BART also suggests that the expedited proceeding be removed from A.98-07-003, et al., and be conducted as a separate investigation, or as part of the Commission’s overall electric industry restructuring proceeding, R.94-04-031/I.94-04-032.</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b/>
          <w:bCs/>
          <w:u w:val="single"/>
        </w:rPr>
        <w:t>TURN</w:t>
      </w:r>
    </w:p>
    <w:p>
      <w:pPr>
        <w:pStyle w:val="Pleading"/>
        <w:rPr/>
      </w:pPr>
      <w:r>
        <w:rPr/>
        <w:t>TURN urges the Commission to adopt the Draft Decision as written.  Perhaps at some point in the future the Legislature will determine that the electric generation and resale market has reached a point at which it might be safe to reintroduce the direct access option.  However, for now and the foreseeable future, the Commission should recognize that direct access has been part of the problem, and its suspension is part of the near-term solution.</w:t>
      </w:r>
      <w:r>
        <w:rPr>
          <w:b/>
          <w:bCs/>
        </w:rPr>
        <w:t xml:space="preserve"> </w:t>
      </w:r>
      <w:r>
        <w:rPr/>
        <w:t xml:space="preserve"> </w:t>
      </w:r>
    </w:p>
    <w:p>
      <w:pPr>
        <w:pStyle w:val="Pleading"/>
        <w:rPr/>
      </w:pPr>
      <w:r>
        <w:rPr/>
      </w:r>
    </w:p>
    <w:p>
      <w:pPr>
        <w:pStyle w:val="Pleading"/>
        <w:rPr/>
      </w:pPr>
      <w:r>
        <w:rPr/>
        <w:t xml:space="preserve">For now, ABX1_1 is the law, and the parties in the best position to judge the impact on the State's financial situation and bonding opportunities of allowing continued direct access (the Treasurer and the Department of Finance) have indicated that in their judgment prompt action by this Commission is needed.  TURN sees no reason why this Commission should attempt to second-guess their recommendations.  The better course would be for the Commission to firmly and clearly suspend direct access, by adopting the Draft Decision.  If the Legislature believes that this outcome is no longer appropriate, or if it achieves a more global outcome that has as one of its components the resuscitation of the direct access option, then it will take any necessary steps to achieve that objective.  </w:t>
      </w:r>
    </w:p>
    <w:p>
      <w:pPr>
        <w:pStyle w:val="Pleading"/>
        <w:rPr/>
      </w:pPr>
      <w:r>
        <w:rPr/>
      </w:r>
    </w:p>
    <w:p>
      <w:pPr>
        <w:pStyle w:val="Pleading"/>
        <w:rPr/>
      </w:pPr>
      <w:r>
        <w:rPr/>
        <w:t xml:space="preserve">The resolution of the current wholesale market dysfunction must logically and practically precede any successful resumption of direct access.  Thus, there is no reason for this Commission to hold off on doing what it needs to do because of worry over the impact on a non-existent direct access market.  There is plenty of time for the Legislature to decide on the future of direct access before there is likely to be any real demand for that service option.  </w:t>
      </w:r>
    </w:p>
    <w:p>
      <w:pPr>
        <w:pStyle w:val="Pleading"/>
        <w:rPr/>
      </w:pPr>
      <w:r>
        <w:rPr/>
      </w:r>
    </w:p>
    <w:p>
      <w:pPr>
        <w:pStyle w:val="Pleading"/>
        <w:rPr/>
      </w:pPr>
      <w:r>
        <w:rPr/>
        <w:t>With regard to Bilas question as to whether less onerous measures could be undertaken to deal with the DWR’s concern, TURN says that the answer to the question may very well be “YES,” but that is a decision for the Legislature and not this Commission.</w:t>
      </w:r>
      <w:r>
        <w:rPr>
          <w:b/>
          <w:bCs/>
        </w:rPr>
        <w:t xml:space="preserve">  </w:t>
      </w:r>
    </w:p>
    <w:p>
      <w:pPr>
        <w:pStyle w:val="Pleading"/>
        <w:rPr>
          <w:b/>
          <w:bCs/>
        </w:rPr>
      </w:pPr>
      <w:r>
        <w:rPr>
          <w:b/>
          <w:bCs/>
        </w:rPr>
      </w:r>
    </w:p>
    <w:p>
      <w:pPr>
        <w:pStyle w:val="Pleading"/>
        <w:rPr>
          <w:b/>
          <w:bCs/>
          <w:u w:val="single"/>
        </w:rPr>
      </w:pPr>
      <w:r>
        <w:rPr>
          <w:b/>
          <w:bCs/>
          <w:u w:val="single"/>
        </w:rPr>
        <w:t>Kroger</w:t>
      </w:r>
    </w:p>
    <w:p>
      <w:pPr>
        <w:pStyle w:val="BodyText3"/>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spacing w:lineRule="auto" w:line="240" w:before="0" w:after="279"/>
        <w:rPr>
          <w:sz w:val="22"/>
          <w:szCs w:val="24"/>
        </w:rPr>
      </w:pPr>
      <w:r>
        <w:rPr>
          <w:sz w:val="22"/>
          <w:szCs w:val="24"/>
        </w:rPr>
        <w:t>SCE’s petition for modification should be denied and the Commission’s draft decisions should not be adopted.  Kroger would be seriously and irreparably harmed if SCE’s requested modification were granted, because it would be unfairly required to pay twice for the costs of generation if PX credit payments were suspended.  Kroger should not be required by the Commission to provide SCE a multi-million dollar, no-interest, unsecured loan.  The suspension of PX credit payments will cost Kroger approximately $25 million per year.  Kroger has entered into block forward contracts in reliance upon the availability and payment of PX credits and the Commission should not retroactively condone SCE’s repeated violations of Commission orders.  Finally, SCE should not be permitted to evade its contractual obligations to Kroger and other direct access customers.</w:t>
      </w:r>
    </w:p>
    <w:p>
      <w:pPr>
        <w:pStyle w:val="BodyText3"/>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spacing w:lineRule="auto" w:line="240"/>
        <w:rPr>
          <w:b/>
          <w:bCs/>
          <w:sz w:val="22"/>
          <w:u w:val="single"/>
        </w:rPr>
      </w:pPr>
      <w:r>
        <w:rPr>
          <w:b/>
          <w:bCs/>
          <w:sz w:val="22"/>
          <w:u w:val="single"/>
        </w:rPr>
        <w:t>PG&amp;E</w:t>
      </w:r>
    </w:p>
    <w:p>
      <w:pPr>
        <w:pStyle w:val="BodyText3"/>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spacing w:lineRule="auto" w:line="240"/>
        <w:rPr>
          <w:sz w:val="22"/>
        </w:rPr>
      </w:pPr>
      <w:r>
        <w:rPr>
          <w:sz w:val="22"/>
        </w:rPr>
        <w:t>PG&amp;E’s comments were less than a page long.  They support the suspension of cash payments to ESPs and direct access customers.  They support the direction of the Bilas decision, with one caveat.  Bottoms up billing should be done for all customers and not just direct access.  However, this should only be done if accompanied by a Commission declaration that the rate freeze has ended.  The final paragraph provides solely that, “PG&amp;E takes no position at this time on the proposal in the Barnett DD to end the availability of direct access to new customers.”</w:t>
      </w:r>
    </w:p>
    <w:p>
      <w:pPr>
        <w:pStyle w:val="BodyText3"/>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spacing w:lineRule="auto" w:line="240"/>
        <w:rPr>
          <w:b/>
          <w:bCs/>
          <w:sz w:val="22"/>
          <w:u w:val="single"/>
        </w:rPr>
      </w:pPr>
      <w:r>
        <w:rPr>
          <w:b/>
          <w:bCs/>
          <w:sz w:val="22"/>
          <w:u w:val="single"/>
        </w:rPr>
        <w:t>SDG&amp;E</w:t>
      </w:r>
    </w:p>
    <w:p>
      <w:pPr>
        <w:pStyle w:val="BodyText"/>
        <w:spacing w:lineRule="auto" w:line="240"/>
        <w:rPr>
          <w:rFonts w:ascii="Times New Roman" w:hAnsi="Times New Roman" w:cs="Times New Roman"/>
        </w:rPr>
      </w:pPr>
      <w:r>
        <w:rPr>
          <w:rFonts w:cs="Times New Roman" w:ascii="Times New Roman" w:hAnsi="Times New Roman"/>
        </w:rPr>
        <w:t>It is in the public interest to continue to promote sources of supply other than the utility and CDWR.  This can reduce the need for CDWR or the utility to purchase high priced power in the market at spot, or to enter into additional long-term contracts, thereby reducing the State’s and utilities’ potential burden.  Accordingly, it is not in consumers’ best interest to terminate direct access as an alternative.  Reasonable conditions on direct access will address CDWR’s concerns.  Direct access should not be used as a tool to prevent recovery of the costs of commitments made on those consumers’ behalf in the past, and it should not result in cost shifting either to other customers, or to the utilities or CDWR.</w:t>
      </w:r>
    </w:p>
    <w:p>
      <w:pPr>
        <w:pStyle w:val="BodyText"/>
        <w:spacing w:lineRule="auto" w:line="240"/>
        <w:rPr>
          <w:rFonts w:ascii="Times New Roman" w:hAnsi="Times New Roman" w:cs="Times New Roman"/>
        </w:rPr>
      </w:pPr>
      <w:r>
        <w:rPr>
          <w:rFonts w:cs="Times New Roman" w:ascii="Times New Roman" w:hAnsi="Times New Roman"/>
        </w:rPr>
      </w:r>
    </w:p>
    <w:p>
      <w:pPr>
        <w:pStyle w:val="BodyText3"/>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spacing w:lineRule="auto" w:line="240"/>
        <w:rPr>
          <w:sz w:val="22"/>
        </w:rPr>
      </w:pPr>
      <w:r>
        <w:rPr>
          <w:sz w:val="22"/>
        </w:rPr>
        <w:t xml:space="preserve">However, the State does not need to eliminate customers’ rights to direct access in order to provide reasonable protections to CDWR and the utilities.  For example, although the CDWR, the Treasurer, and the Finance Department expressed concern about the potential effects of direct access on cost recovery, their recommended solution was not elimination of consumers’ right to direct access, but only the imposition of reasonable conditions.  SDG&amp;E agrees that applying appropriate conditions to the exercise of direct access is a reasonable solution.  </w:t>
      </w:r>
    </w:p>
    <w:p>
      <w:pPr>
        <w:pStyle w:val="BodyText3"/>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spacing w:lineRule="auto" w:line="240"/>
        <w:rPr>
          <w:sz w:val="22"/>
        </w:rPr>
      </w:pPr>
      <w:r>
        <w:rPr>
          <w:sz w:val="22"/>
        </w:rPr>
      </w:r>
    </w:p>
    <w:p>
      <w:pPr>
        <w:pStyle w:val="BodyText3"/>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spacing w:lineRule="auto" w:line="240"/>
        <w:rPr>
          <w:sz w:val="22"/>
        </w:rPr>
      </w:pPr>
      <w:r>
        <w:rPr>
          <w:sz w:val="22"/>
        </w:rPr>
        <w:t>Customers can benefit from the presence of direct access. Direct access provides an additional source of power supply, thereby reducing the obligation to make forward commitments either by CDWR or the utilities, as default suppliers.  Added sources of supply and reduced risk and burden on CDWR and the utilities are positive benefits to consumers of continued direct access opportunities.</w:t>
      </w:r>
    </w:p>
    <w:p>
      <w:pPr>
        <w:pStyle w:val="BodyText3"/>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spacing w:lineRule="auto" w:line="240"/>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NEWCENTURYSCHLBK">
    <w:altName w:val="Century Schoolbook"/>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lvl>
    <w:lvl w:ilvl="1">
      <w:start w:val="1"/>
      <w:numFmt w:val="upperLetter"/>
      <w:lvlText w:val="%2."/>
      <w:lvlJc w:val="start"/>
      <w:pPr>
        <w:tabs>
          <w:tab w:val="num" w:pos="1440"/>
        </w:tabs>
        <w:ind w:start="1440" w:hanging="720"/>
      </w:pPr>
    </w:lvl>
    <w:lvl w:ilvl="2">
      <w:start w:val="1"/>
      <w:numFmt w:val="decimal"/>
      <w:lvlText w:val="%3."/>
      <w:lvlJc w:val="start"/>
      <w:pPr>
        <w:tabs>
          <w:tab w:val="num" w:pos="2160"/>
        </w:tabs>
        <w:ind w:start="2160" w:hanging="720"/>
      </w:pPr>
    </w:lvl>
    <w:lvl w:ilvl="3">
      <w:start w:val="1"/>
      <w:numFmt w:val="lowerLetter"/>
      <w:lvlText w:val="%4."/>
      <w:lvlJc w:val="start"/>
      <w:pPr>
        <w:tabs>
          <w:tab w:val="num" w:pos="2880"/>
        </w:tabs>
        <w:ind w:start="2880" w:hanging="720"/>
      </w:pPr>
    </w:lvl>
    <w:lvl w:ilvl="4">
      <w:start w:val="1"/>
      <w:numFmt w:val="lowerRoman"/>
      <w:lvlText w:val="%5."/>
      <w:lvlJc w:val="start"/>
      <w:pPr>
        <w:tabs>
          <w:tab w:val="num" w:pos="3600"/>
        </w:tabs>
        <w:ind w:start="3600" w:hanging="720"/>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Courier New" w:hAnsi="Courier New" w:cs="Courier New"/>
      <w:b/>
      <w:bCs/>
      <w:u w:val="single"/>
    </w:rPr>
  </w:style>
  <w:style w:type="paragraph" w:styleId="Heading2">
    <w:name w:val="heading 2"/>
    <w:basedOn w:val="Normal"/>
    <w:next w:val="Normal"/>
    <w:qFormat/>
    <w:pPr>
      <w:keepNext w:val="true"/>
      <w:numPr>
        <w:ilvl w:val="1"/>
        <w:numId w:val="1"/>
      </w:numPr>
      <w:jc w:val="both"/>
      <w:outlineLvl w:val="1"/>
    </w:pPr>
    <w:rPr>
      <w:b/>
      <w:bCs/>
      <w:u w:val="single"/>
    </w:rPr>
  </w:style>
  <w:style w:type="paragraph" w:styleId="Heading3">
    <w:name w:val="heading 3"/>
    <w:basedOn w:val="Normal"/>
    <w:next w:val="Normal"/>
    <w:qFormat/>
    <w:pPr>
      <w:keepNext w:val="true"/>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2"/>
    </w:pPr>
    <w:rPr>
      <w:b/>
      <w:sz w:val="22"/>
      <w:u w:val="single"/>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sz w:val="24"/>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color w:val="FF0000"/>
      <w:sz w:val="16"/>
      <w:u w:val="single"/>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rFonts w:ascii="Arial" w:hAnsi="Arial" w:cs="Arial"/>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Level1">
    <w:name w:val="Outline Level 1"/>
    <w:basedOn w:val="Normal"/>
    <w:qFormat/>
    <w:pPr>
      <w:numPr>
        <w:ilvl w:val="0"/>
        <w:numId w:val="2"/>
      </w:numPr>
      <w:spacing w:before="0" w:after="240"/>
      <w:outlineLvl w:val="0"/>
    </w:pPr>
    <w:rPr>
      <w:szCs w:val="20"/>
    </w:rPr>
  </w:style>
  <w:style w:type="paragraph" w:styleId="OutlineLevel2">
    <w:name w:val="Outline Level 2"/>
    <w:basedOn w:val="OutlineLevel1"/>
    <w:qFormat/>
    <w:pPr>
      <w:outlineLvl w:val="1"/>
    </w:pPr>
    <w:rPr/>
  </w:style>
  <w:style w:type="paragraph" w:styleId="OutlineLevel3">
    <w:name w:val="Outline Level 3"/>
    <w:basedOn w:val="OutlineLevel2"/>
    <w:qFormat/>
    <w:pPr>
      <w:outlineLvl w:val="2"/>
    </w:pPr>
    <w:rPr/>
  </w:style>
  <w:style w:type="paragraph" w:styleId="OutlineLevel4">
    <w:name w:val="Outline Level 4"/>
    <w:basedOn w:val="OutlineLevel3"/>
    <w:qFormat/>
    <w:pPr>
      <w:outlineLvl w:val="3"/>
    </w:pPr>
    <w:rPr/>
  </w:style>
  <w:style w:type="paragraph" w:styleId="OutlineLevel5">
    <w:name w:val="Outline Level 5"/>
    <w:basedOn w:val="OutlineLevel4"/>
    <w:qFormat/>
    <w:pPr>
      <w:outlineLvl w:val="4"/>
    </w:pPr>
    <w:rPr/>
  </w:style>
  <w:style w:type="paragraph" w:styleId="Declar1">
    <w:name w:val="Declar. 1"/>
    <w:basedOn w:val="Normal"/>
    <w:qFormat/>
    <w:pPr>
      <w:widowControl w:val="false"/>
      <w:spacing w:before="0" w:after="240"/>
      <w:outlineLvl w:val="0"/>
    </w:pPr>
    <w:rPr>
      <w:szCs w:val="20"/>
    </w:rPr>
  </w:style>
  <w:style w:type="paragraph" w:styleId="Declar3">
    <w:name w:val="Declar. 3"/>
    <w:basedOn w:val="Normal"/>
    <w:qFormat/>
    <w:pPr>
      <w:widowControl w:val="false"/>
      <w:spacing w:before="0" w:after="240"/>
      <w:outlineLvl w:val="2"/>
    </w:pPr>
    <w:rPr>
      <w:szCs w:val="20"/>
    </w:rPr>
  </w:style>
  <w:style w:type="paragraph" w:styleId="DocumentMap">
    <w:name w:val="Document Map"/>
    <w:basedOn w:val="Normal"/>
    <w:qFormat/>
    <w:pPr>
      <w:shd w:fill="000080" w:val="clear"/>
    </w:pPr>
    <w:rPr>
      <w:rFonts w:ascii="Tahoma" w:hAnsi="Tahoma" w:cs="Tahoma"/>
      <w:sz w:val="20"/>
      <w:szCs w:val="20"/>
    </w:rPr>
  </w:style>
  <w:style w:type="paragraph" w:styleId="BodyText3">
    <w:name w:val="Body Text 3"/>
    <w:basedOn w:val="Normal"/>
    <w:qFormat/>
    <w:pPr>
      <w:spacing w:lineRule="auto" w:line="480"/>
      <w:jc w:val="both"/>
    </w:pPr>
    <w:rPr>
      <w:szCs w:val="20"/>
    </w:rPr>
  </w:style>
  <w:style w:type="paragraph" w:styleId="Heading1Text">
    <w:name w:val="Heading 1 Text"/>
    <w:basedOn w:val="Normal"/>
    <w:qFormat/>
    <w:pPr>
      <w:spacing w:lineRule="atLeast" w:line="480"/>
      <w:ind w:firstLine="720" w:start="0" w:end="0"/>
    </w:pPr>
    <w:rPr>
      <w:rFonts w:ascii="NEWCENTURYSCHLBK;Century Schoolbook" w:hAnsi="NEWCENTURYSCHLBK;Century Schoolbook" w:cs="NEWCENTURYSCHLBK;Century Schoolbook"/>
      <w:szCs w:val="20"/>
    </w:rPr>
  </w:style>
  <w:style w:type="paragraph" w:styleId="FootnoteText">
    <w:name w:val="footnote text"/>
    <w:basedOn w:val="Normal"/>
    <w:pPr>
      <w:tabs>
        <w:tab w:val="clear" w:pos="720"/>
        <w:tab w:val="left" w:pos="360" w:leader="none"/>
      </w:tabs>
      <w:ind w:hanging="360" w:start="360" w:end="0"/>
    </w:pPr>
    <w:rPr>
      <w:rFonts w:ascii="NEWCENTURYSCHLBK;Century Schoolbook" w:hAnsi="NEWCENTURYSCHLBK;Century Schoolbook" w:cs="NEWCENTURYSCHLBK;Century Schoolbook"/>
      <w:sz w:val="20"/>
      <w:szCs w:val="20"/>
    </w:rPr>
  </w:style>
  <w:style w:type="paragraph" w:styleId="NormalIndent">
    <w:name w:val="Normal Indent"/>
    <w:basedOn w:val="Normal"/>
    <w:qFormat/>
    <w:pPr>
      <w:ind w:hanging="0" w:start="720" w:end="0"/>
    </w:pPr>
    <w:rPr/>
  </w:style>
  <w:style w:type="paragraph" w:styleId="Pleading">
    <w:name w:val="Pleading"/>
    <w:basedOn w:val="NormalIndent"/>
    <w:qFormat/>
    <w:pPr>
      <w:ind w:hanging="0" w:start="0" w:end="0"/>
      <w:jc w:val="both"/>
    </w:pPr>
    <w:rPr>
      <w:sz w:val="22"/>
      <w:szCs w:val="20"/>
    </w:rPr>
  </w:style>
  <w:style w:type="paragraph" w:styleId="6Outline">
    <w:name w:val="6Outline"/>
    <w:qFormat/>
    <w:pPr>
      <w:widowControl w:val="false"/>
      <w:autoSpaceDE w:val="false"/>
      <w:bidi w:val="0"/>
      <w:jc w:val="both"/>
    </w:pPr>
    <w:rPr>
      <w:rFonts w:ascii="Times New Roman" w:hAnsi="Times New Roman" w:eastAsia="Times New Roman" w:cs="Times New Roman"/>
      <w:color w:val="auto"/>
      <w:sz w:val="20"/>
      <w:szCs w:val="24"/>
      <w:lang w:val="en-US" w:bidi="ar-SA"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2001-06-26T15:12:00Z</dcterms:created>
  <dc:creator>Daniel W. Douglass</dc:creator>
  <dc:description/>
  <dc:language>en-CA</dc:language>
  <cp:lastModifiedBy>Daniel W. Douglass</cp:lastModifiedBy>
  <cp:lastPrinted>2001-06-26T11:47:00Z</cp:lastPrinted>
  <dcterms:modified xsi:type="dcterms:W3CDTF">2001-06-26T21:58:00Z</dcterms:modified>
  <cp:revision>8</cp:revision>
  <dc:subject/>
  <dc:title>FEA re Bilas</dc:title>
</cp:coreProperties>
</file>