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11520" w:leader="none"/>
        </w:tabs>
        <w:rPr/>
      </w:pPr>
      <w:r>
        <w:rPr/>
        <w:t>Summary of NOx Trading Programs</w:t>
      </w:r>
    </w:p>
    <w:tbl>
      <w:tblPr>
        <w:tblW w:w="5450" w:type="pct"/>
        <w:jc w:val="start"/>
        <w:tblInd w:w="-743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345"/>
        <w:gridCol w:w="4845"/>
        <w:gridCol w:w="4770"/>
        <w:gridCol w:w="3166"/>
      </w:tblGrid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 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hyperlink r:id="rId2">
              <w:r>
                <w:rPr>
                  <w:rStyle w:val="Hyperlink"/>
                  <w:rFonts w:cs="Arial" w:ascii="Arial" w:hAnsi="Arial"/>
                  <w:sz w:val="18"/>
                </w:rPr>
                <w:t>Ozone Transport Commission (OTC) NOx Budget Program</w:t>
              </w:r>
            </w:hyperlink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hyperlink r:id="rId3">
              <w:r>
                <w:rPr>
                  <w:rStyle w:val="Hyperlink"/>
                  <w:rFonts w:cs="Arial" w:ascii="Arial" w:hAnsi="Arial"/>
                  <w:sz w:val="18"/>
                </w:rPr>
                <w:t xml:space="preserve">Section 126 Federal NOx Budget Trading Program </w:t>
              </w:r>
            </w:hyperlink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ind w:end="502"/>
              <w:rPr>
                <w:rFonts w:ascii="Arial" w:hAnsi="Arial" w:eastAsia="Arial Unicode MS" w:cs="Arial"/>
                <w:sz w:val="18"/>
              </w:rPr>
            </w:pPr>
            <w:hyperlink r:id="rId4">
              <w:r>
                <w:rPr>
                  <w:rStyle w:val="Hyperlink"/>
                  <w:rFonts w:cs="Arial" w:ascii="Arial" w:hAnsi="Arial"/>
                  <w:sz w:val="18"/>
                </w:rPr>
                <w:t>NOx State Implementation Plan (SIP) Call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</w:tr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States Covered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CT, DC*, DE, MA, MD, ME, NH, NJ, NY, PA, RI, VT*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eastAsia="Arial Unicode MS" w:cs="Arial" w:ascii="Arial" w:hAnsi="Arial"/>
                <w:sz w:val="18"/>
              </w:rPr>
              <w:t>*not in trading program</w:t>
            </w:r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DC, DE*, IN, KY, MD*, MI, NC, NJ*, NY*, OH, PA*, VA, WV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*Section 126 superceded by NOx SIP call (in states with approved SIPs)</w:t>
            </w:r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ind w:end="502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AL*, CT, DC, DE, GA *, IL, IN, KY, MA, MD, MI*, MO* NC, NH, NJ, NY, OH, PA, RI, SC, TN, VA, WV</w:t>
            </w:r>
          </w:p>
          <w:p>
            <w:pPr>
              <w:pStyle w:val="Normal"/>
              <w:ind w:end="502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end="502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*fine grid portions of the state only</w:t>
            </w:r>
          </w:p>
        </w:tc>
      </w:tr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Compliance period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May 1 - September 30 of each year.  </w:t>
            </w:r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May 1 - September 30 of each year</w:t>
            </w:r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ind w:end="502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May 1 - September 30 of each year </w:t>
              <w:br/>
              <w:t>(In 2004, the compliance period begins May 31 for those states just launching their SIPs, for the OTR states it is May 1.)</w:t>
            </w:r>
          </w:p>
        </w:tc>
      </w:tr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Compliance Year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1999 – 2003 (to be superceded by NOx SIP Calls in 2003)</w:t>
            </w:r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2003</w:t>
            </w:r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BodyText"/>
              <w:ind w:end="502"/>
              <w:rPr/>
            </w:pPr>
            <w:r>
              <w:rPr/>
              <w:t>2003:  CT, DE, MA, MD, NH, NJ, NY, PA, RI</w:t>
            </w:r>
          </w:p>
          <w:p>
            <w:pPr>
              <w:pStyle w:val="Normal"/>
              <w:ind w:end="502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2004:  All Other States (Unless further delayed by court actions.)</w:t>
            </w:r>
          </w:p>
        </w:tc>
      </w:tr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Emissions Cap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219,000 tons in 1999;</w:t>
              <w:br/>
              <w:t xml:space="preserve">143,000 tons in 2003 </w:t>
            </w:r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24, 905 tons (Non-EGU Budget)</w:t>
            </w:r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ind w:end="502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 </w:t>
            </w:r>
          </w:p>
        </w:tc>
      </w:tr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Baseline Year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1990</w:t>
            </w:r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1995</w:t>
            </w:r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ind w:end="502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1995</w:t>
            </w:r>
          </w:p>
        </w:tc>
      </w:tr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Program Owner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OTC; Allowances set by OTC, program administered by EPA</w:t>
            </w:r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EPA</w:t>
            </w:r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ind w:end="502"/>
              <w:rPr>
                <w:rFonts w:ascii="Arial" w:hAnsi="Arial" w:eastAsia="Arial Unicode MS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States and EPA; States have the option of participating in the trading program and establishing unit allocations, program administered by EPA.  States will be “FIP’d”  (Federal Implementation Plan) if they don’t submit a SIP.  To date, OH is the only state that has not made significant progress on their SIP.</w:t>
            </w:r>
          </w:p>
        </w:tc>
      </w:tr>
      <w:tr>
        <w:trPr/>
        <w:tc>
          <w:tcPr>
            <w:tcW w:w="13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Affected Units</w:t>
            </w:r>
          </w:p>
        </w:tc>
        <w:tc>
          <w:tcPr>
            <w:tcW w:w="4845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fossil fuel fired boilers or indirect heat exchangers with a maximum rated heat input capacity of 250 MMBtu/hour or more; and all electric generating facilities with a rated output of 15 MW or more.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See link for state by state list of affected sources: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">
              <w:r>
                <w:rPr>
                  <w:rStyle w:val="Hyperlink"/>
                  <w:sz w:val="18"/>
                </w:rPr>
                <w:t>http://www.epa.gov/airmarkets/otc/sources/index.html</w:t>
              </w:r>
            </w:hyperlink>
          </w:p>
        </w:tc>
        <w:tc>
          <w:tcPr>
            <w:tcW w:w="47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The reality is that the only affected units will be the Non Electric Generating Units in the Non OTR states.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See Appendix B for list of affected sources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16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ind w:end="502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Electric Generating Units and Non Electric Generating Units.  Many Northeastern states have included EGUs &gt;15MWs in their trading programs.  Cogen Requirements still unclear:  currently remanded to USEPA for further analysis.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720"/>
      <w:outlineLvl w:val="0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4796" w:leader="none"/>
      </w:tabs>
      <w:ind w:hanging="0" w:start="0" w:end="1942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pa.gov/airmarkets/otc/index.html" TargetMode="External"/><Relationship Id="rId3" Type="http://schemas.openxmlformats.org/officeDocument/2006/relationships/hyperlink" Target="http://www.epa.gov/airmarkets/fednox/index.html" TargetMode="External"/><Relationship Id="rId4" Type="http://schemas.openxmlformats.org/officeDocument/2006/relationships/hyperlink" Target="http://www.epa.gov/airmarkets/fednox/index.html" TargetMode="External"/><Relationship Id="rId5" Type="http://schemas.openxmlformats.org/officeDocument/2006/relationships/hyperlink" Target="http://www.epa.gov/airmarkets/otc/sources/index.htm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2001-08-30T15:31:00Z</dcterms:created>
  <dc:creator>Mary Schoen</dc:creator>
  <dc:description/>
  <dc:language>en-CA</dc:language>
  <cp:lastModifiedBy>Mary Schoen</cp:lastModifiedBy>
  <dcterms:modified xsi:type="dcterms:W3CDTF">2001-08-31T16:46:00Z</dcterms:modified>
  <cp:revision>17</cp:revision>
  <dc:subject/>
  <dc:title>Summary of Nox Trading Programs</dc:title>
</cp:coreProperties>
</file>