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Summary of November 14 – 15, 2001</w:t>
      </w:r>
    </w:p>
    <w:p>
      <w:pPr>
        <w:pStyle w:val="Normal"/>
        <w:jc w:val="center"/>
        <w:rPr>
          <w:b/>
          <w:bCs/>
          <w:sz w:val="28"/>
        </w:rPr>
      </w:pPr>
      <w:r>
        <w:rPr>
          <w:b/>
          <w:bCs/>
          <w:sz w:val="28"/>
        </w:rPr>
        <w:t>FERC Generator Interconnection Meetings</w:t>
      </w:r>
    </w:p>
    <w:p>
      <w:pPr>
        <w:pStyle w:val="Normal"/>
        <w:rPr>
          <w:b/>
          <w:bCs/>
          <w:sz w:val="28"/>
        </w:rPr>
      </w:pPr>
      <w:r>
        <w:rPr>
          <w:b/>
          <w:bCs/>
          <w:sz w:val="28"/>
        </w:rPr>
      </w:r>
    </w:p>
    <w:p>
      <w:pPr>
        <w:pStyle w:val="Normal"/>
        <w:jc w:val="both"/>
        <w:rPr/>
      </w:pPr>
      <w:r>
        <w:rPr/>
        <w:t>At the end of the meetings last week, a drafting committee was tasked with preparing a “straw man” of the products (and associated rights) to be offered to generators for I/C purposes.  The products included (see last report for detail):  simple I/C, optional upgrades and qualified network resource.  Although the drafting committee was supposed to have a “straw man” available on Tuesday (November 13</w:t>
      </w:r>
      <w:r>
        <w:rPr>
          <w:vertAlign w:val="superscript"/>
        </w:rPr>
        <w:t>th</w:t>
      </w:r>
      <w:r>
        <w:rPr/>
        <w:t>), the generators and transmission owners (“TOs”) found themselves farther apart than initially expected.  Consequently, the drafting committee continued to work off-line during the scheduled Wednesday and Thursday meetings (November 14</w:t>
      </w:r>
      <w:r>
        <w:rPr>
          <w:vertAlign w:val="superscript"/>
        </w:rPr>
        <w:t>th</w:t>
      </w:r>
      <w:r>
        <w:rPr/>
        <w:t xml:space="preserve"> and 15</w:t>
      </w:r>
      <w:r>
        <w:rPr>
          <w:vertAlign w:val="superscript"/>
        </w:rPr>
        <w:t>th</w:t>
      </w:r>
      <w:r>
        <w:rPr/>
        <w:t>), with a projected completion date of Friday November 16</w:t>
      </w:r>
      <w:r>
        <w:rPr>
          <w:vertAlign w:val="superscript"/>
        </w:rPr>
        <w:t>th</w:t>
      </w:r>
      <w:r>
        <w:rPr/>
        <w:t>.  Assuming a draft is available on time, final comments will be due next Friday.</w:t>
      </w:r>
    </w:p>
    <w:p>
      <w:pPr>
        <w:pStyle w:val="Normal"/>
        <w:jc w:val="both"/>
        <w:rPr/>
      </w:pPr>
      <w:r>
        <w:rPr/>
      </w:r>
    </w:p>
    <w:p>
      <w:pPr>
        <w:pStyle w:val="Normal"/>
        <w:jc w:val="both"/>
        <w:rPr/>
      </w:pPr>
      <w:r>
        <w:rPr/>
        <w:t>The meeting on Wednesday (November 14</w:t>
      </w:r>
      <w:r>
        <w:rPr>
          <w:vertAlign w:val="superscript"/>
        </w:rPr>
        <w:t>th</w:t>
      </w:r>
      <w:r>
        <w:rPr/>
        <w:t>) principally focused on queuing issues.  The key interests articulated by the various groups were as follows:</w:t>
      </w:r>
    </w:p>
    <w:p>
      <w:pPr>
        <w:pStyle w:val="Normal"/>
        <w:jc w:val="both"/>
        <w:rPr/>
      </w:pPr>
      <w:r>
        <w:rPr/>
      </w:r>
    </w:p>
    <w:p>
      <w:pPr>
        <w:pStyle w:val="Normal"/>
        <w:jc w:val="both"/>
        <w:rPr>
          <w:u w:val="single"/>
        </w:rPr>
      </w:pPr>
      <w:r>
        <w:rPr>
          <w:u w:val="single"/>
        </w:rPr>
        <w:t>ISOs/RTOs</w:t>
      </w:r>
    </w:p>
    <w:p>
      <w:pPr>
        <w:pStyle w:val="Normal"/>
        <w:jc w:val="both"/>
        <w:rPr>
          <w:u w:val="single"/>
        </w:rPr>
      </w:pPr>
      <w:r>
        <w:rPr>
          <w:u w:val="single"/>
        </w:rPr>
      </w:r>
    </w:p>
    <w:p>
      <w:pPr>
        <w:pStyle w:val="Normal"/>
        <w:numPr>
          <w:ilvl w:val="0"/>
          <w:numId w:val="6"/>
        </w:numPr>
        <w:jc w:val="both"/>
        <w:rPr/>
      </w:pPr>
      <w:r>
        <w:rPr/>
        <w:t>Keeping the queue manageable;</w:t>
      </w:r>
    </w:p>
    <w:p>
      <w:pPr>
        <w:pStyle w:val="Normal"/>
        <w:numPr>
          <w:ilvl w:val="0"/>
          <w:numId w:val="6"/>
        </w:numPr>
        <w:jc w:val="both"/>
        <w:rPr/>
      </w:pPr>
      <w:r>
        <w:rPr/>
        <w:t>Ensuring the commitment of the generators (e.g., through the use of effective milestones, commensurate deposits and milestone management – such as evaluation of agreements like those related to site control, water availability and fuel contracts to make sure these agreements are “real”);</w:t>
      </w:r>
    </w:p>
    <w:p>
      <w:pPr>
        <w:pStyle w:val="Normal"/>
        <w:numPr>
          <w:ilvl w:val="0"/>
          <w:numId w:val="6"/>
        </w:numPr>
        <w:jc w:val="both"/>
        <w:rPr/>
      </w:pPr>
      <w:r>
        <w:rPr/>
        <w:t>Limiting modifications to the project that cause, among other things, re-studies (e.g., clearly defining what constitutes a significant or material modification); and</w:t>
      </w:r>
    </w:p>
    <w:p>
      <w:pPr>
        <w:pStyle w:val="Normal"/>
        <w:numPr>
          <w:ilvl w:val="0"/>
          <w:numId w:val="6"/>
        </w:numPr>
        <w:jc w:val="both"/>
        <w:rPr/>
      </w:pPr>
      <w:r>
        <w:rPr/>
        <w:t>Advancing facilities upgrades without changing the queue position of a generator.</w:t>
      </w:r>
    </w:p>
    <w:p>
      <w:pPr>
        <w:pStyle w:val="Normal"/>
        <w:jc w:val="both"/>
        <w:rPr/>
      </w:pPr>
      <w:r>
        <w:rPr/>
      </w:r>
    </w:p>
    <w:p>
      <w:pPr>
        <w:pStyle w:val="Normal"/>
        <w:jc w:val="both"/>
        <w:rPr>
          <w:u w:val="single"/>
        </w:rPr>
      </w:pPr>
      <w:r>
        <w:rPr>
          <w:u w:val="single"/>
        </w:rPr>
        <w:t>Generators</w:t>
      </w:r>
    </w:p>
    <w:p>
      <w:pPr>
        <w:pStyle w:val="Normal"/>
        <w:jc w:val="both"/>
        <w:rPr>
          <w:u w:val="single"/>
        </w:rPr>
      </w:pPr>
      <w:r>
        <w:rPr>
          <w:u w:val="single"/>
        </w:rPr>
      </w:r>
    </w:p>
    <w:p>
      <w:pPr>
        <w:pStyle w:val="Normal"/>
        <w:numPr>
          <w:ilvl w:val="0"/>
          <w:numId w:val="10"/>
        </w:numPr>
        <w:jc w:val="both"/>
        <w:rPr/>
      </w:pPr>
      <w:r>
        <w:rPr/>
        <w:t>Use of “clustering” – i.e., how is the group determined? -- (the underlying interest seemed to be that the generators wanted to achieve some level of cost-sharing along with efficiency in administering the study process);</w:t>
      </w:r>
    </w:p>
    <w:p>
      <w:pPr>
        <w:pStyle w:val="Normal"/>
        <w:numPr>
          <w:ilvl w:val="0"/>
          <w:numId w:val="10"/>
        </w:numPr>
        <w:jc w:val="both"/>
        <w:rPr/>
      </w:pPr>
      <w:r>
        <w:rPr/>
        <w:t>Property rights – the generators would like the queue position to be considered a fungible commodity able to be sold or assigned;</w:t>
      </w:r>
    </w:p>
    <w:p>
      <w:pPr>
        <w:pStyle w:val="Normal"/>
        <w:numPr>
          <w:ilvl w:val="0"/>
          <w:numId w:val="10"/>
        </w:numPr>
        <w:jc w:val="both"/>
        <w:rPr/>
      </w:pPr>
      <w:r>
        <w:rPr/>
        <w:t>Establishment of the queue position (the generators support Best Practice No. 4 set forth in Appendix A of the ANOPR which bases queue position on request date, not execution of an IA);</w:t>
      </w:r>
    </w:p>
    <w:p>
      <w:pPr>
        <w:pStyle w:val="Normal"/>
        <w:numPr>
          <w:ilvl w:val="0"/>
          <w:numId w:val="10"/>
        </w:numPr>
        <w:jc w:val="both"/>
        <w:rPr/>
      </w:pPr>
      <w:r>
        <w:rPr/>
        <w:t>Construction sequencing (i.e., the ability to accelerate upgrades and in-service date);</w:t>
      </w:r>
    </w:p>
    <w:p>
      <w:pPr>
        <w:pStyle w:val="Normal"/>
        <w:numPr>
          <w:ilvl w:val="0"/>
          <w:numId w:val="10"/>
        </w:numPr>
        <w:jc w:val="both"/>
        <w:rPr/>
      </w:pPr>
      <w:r>
        <w:rPr/>
        <w:t>Flexibility with regard to impacts on the queue position:</w:t>
      </w:r>
    </w:p>
    <w:p>
      <w:pPr>
        <w:pStyle w:val="Normal"/>
        <w:numPr>
          <w:ilvl w:val="1"/>
          <w:numId w:val="4"/>
        </w:numPr>
        <w:jc w:val="both"/>
        <w:rPr/>
      </w:pPr>
      <w:r>
        <w:rPr/>
        <w:t>certain matters not within their control, like intervention on an air permit application, should not affect queue position;</w:t>
      </w:r>
    </w:p>
    <w:p>
      <w:pPr>
        <w:pStyle w:val="Normal"/>
        <w:numPr>
          <w:ilvl w:val="1"/>
          <w:numId w:val="4"/>
        </w:numPr>
        <w:jc w:val="both"/>
        <w:rPr/>
      </w:pPr>
      <w:r>
        <w:rPr/>
        <w:t>some ability to make changes in plant size and configuration without affecting queue position;</w:t>
      </w:r>
    </w:p>
    <w:p>
      <w:pPr>
        <w:pStyle w:val="Normal"/>
        <w:numPr>
          <w:ilvl w:val="0"/>
          <w:numId w:val="4"/>
        </w:numPr>
        <w:jc w:val="both"/>
        <w:rPr/>
      </w:pPr>
      <w:r>
        <w:rPr/>
        <w:t>Feasibility studies – generators want a standard “fatal flaw” analysis to be available at the beginning of the process so that they can make prompt business decisions about whether to proceed with the project; and</w:t>
      </w:r>
    </w:p>
    <w:p>
      <w:pPr>
        <w:pStyle w:val="Normal"/>
        <w:numPr>
          <w:ilvl w:val="0"/>
          <w:numId w:val="4"/>
        </w:numPr>
        <w:jc w:val="both"/>
        <w:rPr/>
      </w:pPr>
      <w:r>
        <w:rPr/>
        <w:t>Consequences of a party ahead in the queue dropping out – here, the generators were split on their view:  (1) one option was no impact on the others and give the exiting party transmission credits up to the amount they had paid in; and (2) the other option was that the exiting party paid the costs for upgrades incurred to date – others could move up in the queue if they were willing to pay the additional costs of the change in position.</w:t>
      </w:r>
    </w:p>
    <w:p>
      <w:pPr>
        <w:pStyle w:val="Normal"/>
        <w:jc w:val="both"/>
        <w:rPr/>
      </w:pPr>
      <w:r>
        <w:rPr/>
      </w:r>
    </w:p>
    <w:p>
      <w:pPr>
        <w:pStyle w:val="Normal"/>
        <w:jc w:val="both"/>
        <w:rPr>
          <w:u w:val="single"/>
        </w:rPr>
      </w:pPr>
      <w:r>
        <w:rPr>
          <w:u w:val="single"/>
        </w:rPr>
        <w:t>TOs</w:t>
      </w:r>
    </w:p>
    <w:p>
      <w:pPr>
        <w:pStyle w:val="Normal"/>
        <w:jc w:val="both"/>
        <w:rPr>
          <w:u w:val="single"/>
        </w:rPr>
      </w:pPr>
      <w:r>
        <w:rPr>
          <w:u w:val="single"/>
        </w:rPr>
      </w:r>
    </w:p>
    <w:p>
      <w:pPr>
        <w:pStyle w:val="Normal"/>
        <w:numPr>
          <w:ilvl w:val="0"/>
          <w:numId w:val="9"/>
        </w:numPr>
        <w:jc w:val="both"/>
        <w:rPr/>
      </w:pPr>
      <w:r>
        <w:rPr/>
        <w:t>Minimize the level of restudy required due to changes in project status;</w:t>
      </w:r>
    </w:p>
    <w:p>
      <w:pPr>
        <w:pStyle w:val="Normal"/>
        <w:numPr>
          <w:ilvl w:val="0"/>
          <w:numId w:val="9"/>
        </w:numPr>
        <w:jc w:val="both"/>
        <w:rPr/>
      </w:pPr>
      <w:r>
        <w:rPr/>
        <w:t>Validity of requests – the TOs do not want “window shoppers,” they want real consequences on queue position where a material change in project status occurs;</w:t>
      </w:r>
    </w:p>
    <w:p>
      <w:pPr>
        <w:pStyle w:val="Normal"/>
        <w:numPr>
          <w:ilvl w:val="0"/>
          <w:numId w:val="9"/>
        </w:numPr>
        <w:jc w:val="both"/>
        <w:rPr/>
      </w:pPr>
      <w:r>
        <w:rPr/>
        <w:t>Financial accountability and commitment – this related principally to things like deposits that accompany milestones and executing an IA; and</w:t>
      </w:r>
    </w:p>
    <w:p>
      <w:pPr>
        <w:pStyle w:val="Normal"/>
        <w:numPr>
          <w:ilvl w:val="0"/>
          <w:numId w:val="9"/>
        </w:numPr>
        <w:jc w:val="both"/>
        <w:rPr/>
      </w:pPr>
      <w:r>
        <w:rPr/>
        <w:t>Ability to maintain the integrity of system reliability – the TOs want to make sure that the right study models are used and that there is sufficient interface among the parties with regard to information sharing.</w:t>
      </w:r>
    </w:p>
    <w:p>
      <w:pPr>
        <w:pStyle w:val="Normal"/>
        <w:jc w:val="both"/>
        <w:rPr/>
      </w:pPr>
      <w:r>
        <w:rPr/>
      </w:r>
    </w:p>
    <w:p>
      <w:pPr>
        <w:pStyle w:val="Normal"/>
        <w:jc w:val="both"/>
        <w:rPr>
          <w:u w:val="single"/>
        </w:rPr>
      </w:pPr>
      <w:r>
        <w:rPr>
          <w:u w:val="single"/>
        </w:rPr>
        <w:t>Distributed Resources (Small Generators)</w:t>
      </w:r>
    </w:p>
    <w:p>
      <w:pPr>
        <w:pStyle w:val="Normal"/>
        <w:jc w:val="both"/>
        <w:rPr>
          <w:u w:val="single"/>
        </w:rPr>
      </w:pPr>
      <w:r>
        <w:rPr>
          <w:u w:val="single"/>
        </w:rPr>
      </w:r>
    </w:p>
    <w:p>
      <w:pPr>
        <w:pStyle w:val="Normal"/>
        <w:numPr>
          <w:ilvl w:val="0"/>
          <w:numId w:val="5"/>
        </w:numPr>
        <w:jc w:val="both"/>
        <w:rPr/>
      </w:pPr>
      <w:r>
        <w:rPr/>
        <w:t>Administration of the process by a neutral third party – this group’s main concern is that its constituents are in an unequal bargaining position relative to the TOs as compared to the large generators.</w:t>
      </w:r>
    </w:p>
    <w:p>
      <w:pPr>
        <w:pStyle w:val="Normal"/>
        <w:jc w:val="both"/>
        <w:rPr/>
      </w:pPr>
      <w:r>
        <w:rPr/>
      </w:r>
    </w:p>
    <w:p>
      <w:pPr>
        <w:pStyle w:val="Normal"/>
        <w:jc w:val="both"/>
        <w:rPr>
          <w:u w:val="single"/>
        </w:rPr>
      </w:pPr>
      <w:r>
        <w:rPr>
          <w:u w:val="single"/>
        </w:rPr>
        <w:t>TDUs</w:t>
      </w:r>
    </w:p>
    <w:p>
      <w:pPr>
        <w:pStyle w:val="Normal"/>
        <w:jc w:val="both"/>
        <w:rPr>
          <w:u w:val="single"/>
        </w:rPr>
      </w:pPr>
      <w:r>
        <w:rPr>
          <w:u w:val="single"/>
        </w:rPr>
      </w:r>
    </w:p>
    <w:p>
      <w:pPr>
        <w:pStyle w:val="Normal"/>
        <w:numPr>
          <w:ilvl w:val="0"/>
          <w:numId w:val="5"/>
        </w:numPr>
        <w:jc w:val="both"/>
        <w:rPr/>
      </w:pPr>
      <w:r>
        <w:rPr/>
        <w:t>Comparability – i.e., no preference for internal projects by the TOs;</w:t>
      </w:r>
    </w:p>
    <w:p>
      <w:pPr>
        <w:pStyle w:val="Normal"/>
        <w:numPr>
          <w:ilvl w:val="0"/>
          <w:numId w:val="5"/>
        </w:numPr>
        <w:jc w:val="both"/>
        <w:rPr/>
      </w:pPr>
      <w:r>
        <w:rPr/>
        <w:t>The terminology “generator” should be expanded to include merchant transmission providers; and</w:t>
      </w:r>
    </w:p>
    <w:p>
      <w:pPr>
        <w:pStyle w:val="Normal"/>
        <w:numPr>
          <w:ilvl w:val="0"/>
          <w:numId w:val="5"/>
        </w:numPr>
        <w:jc w:val="both"/>
        <w:rPr/>
      </w:pPr>
      <w:r>
        <w:rPr/>
        <w:t>The queuing process should be administered by the highest regional transmission provider to ensure sufficient neutrality (this means hierarchal position, not size – so, where there is an ISO/RTO, this would be the preference).</w:t>
      </w:r>
    </w:p>
    <w:p>
      <w:pPr>
        <w:pStyle w:val="Normal"/>
        <w:jc w:val="both"/>
        <w:rPr/>
      </w:pPr>
      <w:r>
        <w:rPr/>
      </w:r>
    </w:p>
    <w:p>
      <w:pPr>
        <w:pStyle w:val="Normal"/>
        <w:jc w:val="both"/>
        <w:rPr/>
      </w:pPr>
      <w:r>
        <w:rPr/>
        <w:t>By mid to late morning of the first day, it was decided that a small number of group representatives should attempt to draft a consensus position on queuing.  This group also worked off-line during much of the early afternoon.  When they returned and the above issues were further discussed, it was clear that the TOs and generators still disagreed in a number of areas:</w:t>
      </w:r>
    </w:p>
    <w:p>
      <w:pPr>
        <w:pStyle w:val="Normal"/>
        <w:jc w:val="both"/>
        <w:rPr/>
      </w:pPr>
      <w:r>
        <w:rPr/>
      </w:r>
    </w:p>
    <w:p>
      <w:pPr>
        <w:pStyle w:val="Normal"/>
        <w:numPr>
          <w:ilvl w:val="0"/>
          <w:numId w:val="2"/>
        </w:numPr>
        <w:jc w:val="both"/>
        <w:rPr/>
      </w:pPr>
      <w:r>
        <w:rPr/>
        <w:t>What is in the base case study;</w:t>
      </w:r>
    </w:p>
    <w:p>
      <w:pPr>
        <w:pStyle w:val="Normal"/>
        <w:numPr>
          <w:ilvl w:val="0"/>
          <w:numId w:val="2"/>
        </w:numPr>
        <w:jc w:val="both"/>
        <w:rPr/>
      </w:pPr>
      <w:r>
        <w:rPr/>
        <w:t>Milestones and their impacts;</w:t>
      </w:r>
    </w:p>
    <w:p>
      <w:pPr>
        <w:pStyle w:val="Normal"/>
        <w:numPr>
          <w:ilvl w:val="0"/>
          <w:numId w:val="2"/>
        </w:numPr>
        <w:jc w:val="both"/>
        <w:rPr/>
      </w:pPr>
      <w:r>
        <w:rPr/>
        <w:t>The impact of project cancellation (i.e., withdrawal from the queue);</w:t>
      </w:r>
    </w:p>
    <w:p>
      <w:pPr>
        <w:pStyle w:val="Normal"/>
        <w:numPr>
          <w:ilvl w:val="0"/>
          <w:numId w:val="2"/>
        </w:numPr>
        <w:jc w:val="both"/>
        <w:rPr/>
      </w:pPr>
      <w:r>
        <w:rPr/>
        <w:t>Uniform use of a feasibility or “fatal flaw” study; and</w:t>
      </w:r>
    </w:p>
    <w:p>
      <w:pPr>
        <w:pStyle w:val="Normal"/>
        <w:numPr>
          <w:ilvl w:val="0"/>
          <w:numId w:val="2"/>
        </w:numPr>
        <w:jc w:val="both"/>
        <w:rPr/>
      </w:pPr>
      <w:r>
        <w:rPr/>
        <w:t>When a generator is liable for upgrades.</w:t>
      </w:r>
    </w:p>
    <w:p>
      <w:pPr>
        <w:pStyle w:val="Normal"/>
        <w:jc w:val="both"/>
        <w:rPr/>
      </w:pPr>
      <w:r>
        <w:rPr/>
      </w:r>
    </w:p>
    <w:p>
      <w:pPr>
        <w:pStyle w:val="Normal"/>
        <w:jc w:val="both"/>
        <w:rPr/>
      </w:pPr>
      <w:r>
        <w:rPr/>
        <w:t>Concerning the last point, the generators were particularly concerned with the implications of signing an IA.  Specifically, their concerns were:</w:t>
      </w:r>
    </w:p>
    <w:p>
      <w:pPr>
        <w:pStyle w:val="Normal"/>
        <w:jc w:val="both"/>
        <w:rPr/>
      </w:pPr>
      <w:r>
        <w:rPr/>
      </w:r>
    </w:p>
    <w:p>
      <w:pPr>
        <w:pStyle w:val="Normal"/>
        <w:numPr>
          <w:ilvl w:val="0"/>
          <w:numId w:val="11"/>
        </w:numPr>
        <w:jc w:val="both"/>
        <w:rPr/>
      </w:pPr>
      <w:r>
        <w:rPr/>
        <w:t>When should an IA be signed?</w:t>
      </w:r>
    </w:p>
    <w:p>
      <w:pPr>
        <w:pStyle w:val="Normal"/>
        <w:numPr>
          <w:ilvl w:val="0"/>
          <w:numId w:val="11"/>
        </w:numPr>
        <w:jc w:val="both"/>
        <w:rPr/>
      </w:pPr>
      <w:r>
        <w:rPr/>
        <w:t>What are the functional requirements that need to be accomplished before signing an IA?</w:t>
      </w:r>
    </w:p>
    <w:p>
      <w:pPr>
        <w:pStyle w:val="Normal"/>
        <w:numPr>
          <w:ilvl w:val="0"/>
          <w:numId w:val="11"/>
        </w:numPr>
        <w:jc w:val="both"/>
        <w:rPr/>
      </w:pPr>
      <w:r>
        <w:rPr/>
        <w:t>What does signing an IA mean in terms of studies and cost responsibilities?</w:t>
      </w:r>
    </w:p>
    <w:p>
      <w:pPr>
        <w:pStyle w:val="Normal"/>
        <w:numPr>
          <w:ilvl w:val="0"/>
          <w:numId w:val="11"/>
        </w:numPr>
        <w:jc w:val="both"/>
        <w:rPr/>
      </w:pPr>
      <w:r>
        <w:rPr/>
        <w:t>At what point must a generator sign an IA and is commercial operation date relevant to this question?</w:t>
      </w:r>
    </w:p>
    <w:p>
      <w:pPr>
        <w:pStyle w:val="Normal"/>
        <w:jc w:val="both"/>
        <w:rPr/>
      </w:pPr>
      <w:r>
        <w:rPr/>
      </w:r>
    </w:p>
    <w:p>
      <w:pPr>
        <w:pStyle w:val="Normal"/>
        <w:jc w:val="both"/>
        <w:rPr/>
      </w:pPr>
      <w:r>
        <w:rPr/>
        <w:t>On Thursday, November 15</w:t>
      </w:r>
      <w:r>
        <w:rPr>
          <w:vertAlign w:val="superscript"/>
        </w:rPr>
        <w:t>th</w:t>
      </w:r>
      <w:r>
        <w:rPr/>
        <w:t>, while the “products” and “queuing” drafting committees continued to work off-line, the various groups discussed in plenary session issues associated with I/C procedures and protocols.  Each issue and the key positions offered are set forth below.</w:t>
      </w:r>
    </w:p>
    <w:p>
      <w:pPr>
        <w:pStyle w:val="Normal"/>
        <w:jc w:val="both"/>
        <w:rPr/>
      </w:pPr>
      <w:r>
        <w:rPr/>
      </w:r>
    </w:p>
    <w:p>
      <w:pPr>
        <w:pStyle w:val="Normal"/>
        <w:numPr>
          <w:ilvl w:val="0"/>
          <w:numId w:val="7"/>
        </w:numPr>
        <w:jc w:val="both"/>
        <w:rPr>
          <w:u w:val="single"/>
        </w:rPr>
      </w:pPr>
      <w:r>
        <w:rPr>
          <w:u w:val="single"/>
        </w:rPr>
        <w:t>Parties to the IA</w:t>
      </w:r>
      <w:r>
        <w:rPr/>
        <w:t>:</w:t>
        <w:tab/>
        <w:t>The generators favored a two-party agreement – either with the TO or with the ISO/RTO.  In the latter case, the generators expected the ISO/RTO to have a separate agreement with the TO.  The main purpose of this approach was to limit interactions and streamline the parties to any disputes.  The TOs believed that in all cases the TO needed to be in privity of contract with the generator, since the ISOs/RTOs do not own the transmission facilities and, thus, cannot compel upgrades.  (A similar issue is currently before the FERC concerning PJM.)</w:t>
      </w:r>
      <w:r>
        <w:rPr>
          <w:rStyle w:val="FootnoteCharacters"/>
          <w:rStyle w:val="FootnoteReference"/>
        </w:rPr>
        <w:footnoteReference w:id="2"/>
      </w:r>
    </w:p>
    <w:p>
      <w:pPr>
        <w:pStyle w:val="Normal"/>
        <w:jc w:val="both"/>
        <w:rPr>
          <w:u w:val="single"/>
        </w:rPr>
      </w:pPr>
      <w:r>
        <w:rPr>
          <w:u w:val="single"/>
        </w:rPr>
      </w:r>
    </w:p>
    <w:p>
      <w:pPr>
        <w:pStyle w:val="Normal"/>
        <w:numPr>
          <w:ilvl w:val="0"/>
          <w:numId w:val="7"/>
        </w:numPr>
        <w:jc w:val="both"/>
        <w:rPr>
          <w:u w:val="single"/>
        </w:rPr>
      </w:pPr>
      <w:r>
        <w:rPr>
          <w:u w:val="single"/>
        </w:rPr>
        <w:t>Posting of Studies</w:t>
      </w:r>
      <w:r>
        <w:rPr/>
        <w:t>:</w:t>
        <w:tab/>
        <w:t>Both TOs and generators basically agreed that posting was appropriate.  One apparent driver for the generators is that they want to be able to perform confirming studies.  The only real issue seemed to be what level of information and what amount of redaction is necessary to protect confidentiality.</w:t>
      </w:r>
    </w:p>
    <w:p>
      <w:pPr>
        <w:pStyle w:val="Normal"/>
        <w:jc w:val="both"/>
        <w:rPr>
          <w:u w:val="single"/>
        </w:rPr>
      </w:pPr>
      <w:r>
        <w:rPr>
          <w:u w:val="single"/>
        </w:rPr>
      </w:r>
    </w:p>
    <w:p>
      <w:pPr>
        <w:pStyle w:val="Normal"/>
        <w:numPr>
          <w:ilvl w:val="0"/>
          <w:numId w:val="7"/>
        </w:numPr>
        <w:jc w:val="both"/>
        <w:rPr>
          <w:u w:val="single"/>
        </w:rPr>
      </w:pPr>
      <w:r>
        <w:rPr>
          <w:u w:val="single"/>
        </w:rPr>
        <w:t>Standard Date Submittal</w:t>
      </w:r>
      <w:r>
        <w:rPr/>
        <w:t>:</w:t>
        <w:tab/>
        <w:t>Again, the TOs and generators basically agreed that standardizing the data submittal phase would be helpful.  The generators indicated that submittal size and complexity varies quite a bit across the country and they would prefer something on the order of several pages.  The generators believe that some requests effectively amount to designing the plant in order to study it.  While the TOs agree that a more concise and less detailed submittal can be sufficient for study purposes, they believe there remains a need for some flexibility on a case-by-case basis.</w:t>
      </w:r>
    </w:p>
    <w:p>
      <w:pPr>
        <w:pStyle w:val="Normal"/>
        <w:jc w:val="both"/>
        <w:rPr>
          <w:u w:val="single"/>
        </w:rPr>
      </w:pPr>
      <w:r>
        <w:rPr>
          <w:u w:val="single"/>
        </w:rPr>
      </w:r>
    </w:p>
    <w:p>
      <w:pPr>
        <w:pStyle w:val="Normal"/>
        <w:numPr>
          <w:ilvl w:val="0"/>
          <w:numId w:val="7"/>
        </w:numPr>
        <w:jc w:val="both"/>
        <w:rPr>
          <w:u w:val="single"/>
        </w:rPr>
      </w:pPr>
      <w:r>
        <w:rPr>
          <w:u w:val="single"/>
        </w:rPr>
        <w:t>Face-to-Face Meetings</w:t>
      </w:r>
      <w:r>
        <w:rPr/>
        <w:t>:</w:t>
        <w:tab/>
        <w:t>The generators would require “certain” meetings in order to stay on track with the milestones.  The TOs, on the other hand, would like to keep meetings optional.</w:t>
      </w:r>
    </w:p>
    <w:p>
      <w:pPr>
        <w:pStyle w:val="Normal"/>
        <w:jc w:val="both"/>
        <w:rPr>
          <w:u w:val="single"/>
        </w:rPr>
      </w:pPr>
      <w:r>
        <w:rPr>
          <w:u w:val="single"/>
        </w:rPr>
      </w:r>
    </w:p>
    <w:p>
      <w:pPr>
        <w:pStyle w:val="Normal"/>
        <w:numPr>
          <w:ilvl w:val="0"/>
          <w:numId w:val="7"/>
        </w:numPr>
        <w:jc w:val="both"/>
        <w:rPr>
          <w:u w:val="single"/>
        </w:rPr>
      </w:pPr>
      <w:r>
        <w:rPr>
          <w:u w:val="single"/>
        </w:rPr>
        <w:t>Scope of the I/C Request</w:t>
      </w:r>
      <w:r>
        <w:rPr/>
        <w:t>:</w:t>
        <w:tab/>
        <w:t>The generators want the TOs to “optimize” the generators’ I/C request (i.e., where there is more than one interconnection point, the generators want the TO to tell them which one is the best).  The TOs, however, do not want to be making value judgments for the developer.</w:t>
      </w:r>
    </w:p>
    <w:p>
      <w:pPr>
        <w:pStyle w:val="Normal"/>
        <w:jc w:val="both"/>
        <w:rPr>
          <w:u w:val="single"/>
        </w:rPr>
      </w:pPr>
      <w:r>
        <w:rPr>
          <w:u w:val="single"/>
        </w:rPr>
      </w:r>
    </w:p>
    <w:p>
      <w:pPr>
        <w:pStyle w:val="Normal"/>
        <w:numPr>
          <w:ilvl w:val="0"/>
          <w:numId w:val="7"/>
        </w:numPr>
        <w:jc w:val="both"/>
        <w:rPr>
          <w:u w:val="single"/>
        </w:rPr>
      </w:pPr>
      <w:r>
        <w:rPr>
          <w:u w:val="single"/>
        </w:rPr>
        <w:t>Coordination with Adjacent Systems</w:t>
      </w:r>
      <w:r>
        <w:rPr/>
        <w:t>:  Again, consistent with their philosophy of “one-stop-shopping,” the generators want to be informed by the TOs of both impacts and benefits on adjacent systems related to their projects.  The TOs believe they already have a responsibility to perform coordination for reliability purposes under NERC rules and did not seem to favor a contract solution.  Because this matter is really a “seams” issue, the TOs noted that if large RTOs are put in place this problem should be eliminated in many instances.  Until then, one way to address the issue as suggested by PJM was to include “reciprocity” provisions in the OATT (for non-jurisdictional entities, an ADR process could be used).  The generators seemed to like this suggestion.</w:t>
      </w:r>
    </w:p>
    <w:p>
      <w:pPr>
        <w:pStyle w:val="Normal"/>
        <w:jc w:val="both"/>
        <w:rPr>
          <w:u w:val="single"/>
        </w:rPr>
      </w:pPr>
      <w:r>
        <w:rPr>
          <w:u w:val="single"/>
        </w:rPr>
      </w:r>
    </w:p>
    <w:p>
      <w:pPr>
        <w:pStyle w:val="Normal"/>
        <w:numPr>
          <w:ilvl w:val="0"/>
          <w:numId w:val="7"/>
        </w:numPr>
        <w:jc w:val="both"/>
        <w:rPr>
          <w:u w:val="single"/>
        </w:rPr>
      </w:pPr>
      <w:r>
        <w:rPr>
          <w:u w:val="single"/>
        </w:rPr>
        <w:t>Operating Protocols</w:t>
      </w:r>
      <w:r>
        <w:rPr/>
        <w:t>:</w:t>
        <w:tab/>
        <w:t>The generators indicated that they would like operating protocols published (preferably in tariffs), standardized, applied uniformly and have a “due process” (i.e., appeal) right when a dispute arises.  Underneath this position, the generators really wanted to eliminate the use of “good utility practice” as contract language and they wanted to be able to review any protocols that are referenced in contracts before signing.  The TOs generally agreed that generators clearly should have the opportunity to review protocols before entering into an IA.  However, only key provisions need to be in a tariff, with the remaining procedures and protocols as supporting documents to avoid having to file with the FERC every time a change is made.</w:t>
      </w:r>
    </w:p>
    <w:p>
      <w:pPr>
        <w:pStyle w:val="Normal"/>
        <w:jc w:val="both"/>
        <w:rPr>
          <w:u w:val="single"/>
        </w:rPr>
      </w:pPr>
      <w:r>
        <w:rPr>
          <w:u w:val="single"/>
        </w:rPr>
      </w:r>
    </w:p>
    <w:p>
      <w:pPr>
        <w:pStyle w:val="Normal"/>
        <w:numPr>
          <w:ilvl w:val="0"/>
          <w:numId w:val="7"/>
        </w:numPr>
        <w:jc w:val="both"/>
        <w:rPr>
          <w:u w:val="single"/>
        </w:rPr>
      </w:pPr>
      <w:r>
        <w:rPr>
          <w:u w:val="single"/>
        </w:rPr>
        <w:t>Transmission O&amp;M</w:t>
      </w:r>
      <w:r>
        <w:rPr/>
        <w:t>:</w:t>
        <w:tab/>
        <w:t>The generators wanted:  (1) the cost limited to Direct Assignment Facilities; (2) costs limited to actual cost, not percentages; (3) coordination with adjacent TOs or ISOs/RTOs; and (4) the option to pay additional monies (i.e., overtime, if you will) for off-peak work.  The TOs generally agreed; however, they felt there must be some way to account for certain shared costs, such as those related to maintenance of spare parts.  (Since this really is a cost issue, there was a strong preference to defer the issue until costs are considered during the next rulemaking phase.)</w:t>
      </w:r>
    </w:p>
    <w:p>
      <w:pPr>
        <w:pStyle w:val="Normal"/>
        <w:jc w:val="both"/>
        <w:rPr>
          <w:u w:val="single"/>
        </w:rPr>
      </w:pPr>
      <w:r>
        <w:rPr>
          <w:u w:val="single"/>
        </w:rPr>
      </w:r>
    </w:p>
    <w:p>
      <w:pPr>
        <w:pStyle w:val="Normal"/>
        <w:numPr>
          <w:ilvl w:val="0"/>
          <w:numId w:val="7"/>
        </w:numPr>
        <w:jc w:val="both"/>
        <w:rPr>
          <w:u w:val="single"/>
        </w:rPr>
      </w:pPr>
      <w:r>
        <w:rPr>
          <w:u w:val="single"/>
        </w:rPr>
        <w:t>Flexibility</w:t>
      </w:r>
      <w:r>
        <w:rPr/>
        <w:t>:</w:t>
        <w:tab/>
        <w:t>The generators wanted greater standardization and uniformity in the IA terms and conditions.  The TOs expressed some confusion about the apparent conflict – i.e., the desire for standardization and yet flexibility.  It was resolved that the generators needed to think further about this issue.</w:t>
      </w:r>
    </w:p>
    <w:p>
      <w:pPr>
        <w:pStyle w:val="Normal"/>
        <w:jc w:val="both"/>
        <w:rPr>
          <w:u w:val="single"/>
        </w:rPr>
      </w:pPr>
      <w:r>
        <w:rPr>
          <w:u w:val="single"/>
        </w:rPr>
      </w:r>
    </w:p>
    <w:p>
      <w:pPr>
        <w:pStyle w:val="Normal"/>
        <w:numPr>
          <w:ilvl w:val="0"/>
          <w:numId w:val="7"/>
        </w:numPr>
        <w:jc w:val="both"/>
        <w:rPr>
          <w:u w:val="single"/>
        </w:rPr>
      </w:pPr>
      <w:r>
        <w:rPr>
          <w:u w:val="single"/>
        </w:rPr>
        <w:t>Unexecuted IAs</w:t>
      </w:r>
      <w:r>
        <w:rPr/>
        <w:t>:</w:t>
        <w:tab/>
        <w:t>The only concern that the generators seemed to have was with regard to the time frame for filing.  The TOs generally agreed.</w:t>
      </w:r>
    </w:p>
    <w:p>
      <w:pPr>
        <w:pStyle w:val="Normal"/>
        <w:jc w:val="both"/>
        <w:rPr>
          <w:u w:val="single"/>
        </w:rPr>
      </w:pPr>
      <w:r>
        <w:rPr>
          <w:u w:val="single"/>
        </w:rPr>
      </w:r>
    </w:p>
    <w:p>
      <w:pPr>
        <w:pStyle w:val="Normal"/>
        <w:numPr>
          <w:ilvl w:val="0"/>
          <w:numId w:val="7"/>
        </w:numPr>
        <w:jc w:val="both"/>
        <w:rPr>
          <w:u w:val="single"/>
        </w:rPr>
      </w:pPr>
      <w:r>
        <w:rPr>
          <w:u w:val="single"/>
        </w:rPr>
        <w:t>Disputes</w:t>
      </w:r>
      <w:r>
        <w:rPr/>
        <w:t>:</w:t>
        <w:tab/>
        <w:t>Similar to item No. 9 above, the generators seemed mostly concerned with timing so that they could stay on track with the milestones.  They effectively broke their concern into pre-IA and post-IA, where in the former timeframe, ADR would be utilized but they would not lose their position in the queue.  Post-IA, the filing of an unexecuted IA would be used as the mechanism to deal with unresolved issues.  The TOs did not have any major problems; however, they did not want the pre-IA steps to effectively provide the generator with an opportunity to stall.  The debate really centered around whether the generator would be required to continue meeting milestones (including any required deposits) while the dispute was addressed.  The TOs were in favor of maintaining the milestones; whereas, the generators felt that this would not be acceptable in all cases because of the nature of the dispute (e.g., the study results are in dispute).</w:t>
      </w:r>
    </w:p>
    <w:p>
      <w:pPr>
        <w:pStyle w:val="Normal"/>
        <w:jc w:val="both"/>
        <w:rPr>
          <w:u w:val="single"/>
        </w:rPr>
      </w:pPr>
      <w:r>
        <w:rPr>
          <w:u w:val="single"/>
        </w:rPr>
      </w:r>
    </w:p>
    <w:p>
      <w:pPr>
        <w:pStyle w:val="Normal"/>
        <w:jc w:val="both"/>
        <w:rPr/>
      </w:pPr>
      <w:r>
        <w:rPr/>
        <w:t>The next meetings are scheduled for Tuesday and Wednesday (November 27 and 28) in Denver.  Because of the delay in handling some of the initial issues, the FERC ADR staff indicated that first on the agenda will be the draft consensus position on products (and their associated rights).  Clearly, since the queuing position has not been finalized and a number of issues related to I/C procedures and protocols are still in dispute, it is likely that these meetings will have to address these matters to some degree.  On the agenda, however, are issues concerning facility definitions, third-party construction, time lines as well as issues related to ancillary and auxiliary services.  It may be difficult to iron out consensus positions on all of the issues up for consideration in these two days.</w:t>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Other practical reasons that may preclude two separate agreements are:  (1) negotiations are often necessary that only the TO and generator can accomplish; and (2) support agreements with other parties may be impacted.  In addition, municipal entities may have legal constraints that impact this approach.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16"/>
      </w:rPr>
    </w:lvl>
  </w:abstractNum>
  <w:abstractNum w:abstractNumId="3">
    <w:lvl w:ilvl="0">
      <w:start w:val="1"/>
      <w:numFmt w:val="decimal"/>
      <w:lvlText w:val="%1."/>
      <w:lvlJc w:val="start"/>
      <w:pPr>
        <w:tabs>
          <w:tab w:val="num" w:pos="1080"/>
        </w:tabs>
        <w:ind w:start="0" w:firstLine="720"/>
      </w:pPr>
      <w:rPr/>
    </w:lvl>
  </w:abstractNum>
  <w:abstractNum w:abstractNumId="4">
    <w:lvl w:ilvl="0">
      <w:start w:val="1"/>
      <w:numFmt w:val="bullet"/>
      <w:lvlText w:val=""/>
      <w:lvlJc w:val="start"/>
      <w:pPr>
        <w:tabs>
          <w:tab w:val="num" w:pos="720"/>
        </w:tabs>
        <w:ind w:start="720" w:hanging="360"/>
      </w:pPr>
      <w:rPr>
        <w:rFonts w:ascii="Wingdings" w:hAnsi="Wingdings" w:cs="Wingdings" w:hint="default"/>
        <w:sz w:val="16"/>
      </w:rPr>
    </w:lvl>
    <w:lvl w:ilvl="1">
      <w:start w:val="1"/>
      <w:numFmt w:val="bullet"/>
      <w:lvlText w:val=""/>
      <w:lvlJc w:val="start"/>
      <w:pPr>
        <w:tabs>
          <w:tab w:val="num" w:pos="1440"/>
        </w:tabs>
        <w:ind w:start="1440" w:hanging="360"/>
      </w:pPr>
      <w:rPr>
        <w:rFonts w:ascii="Symbol" w:hAnsi="Symbol" w:cs="Symbol"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Wingdings" w:hAnsi="Wingdings" w:cs="Wingdings" w:hint="default"/>
        <w:sz w:val="16"/>
      </w:rPr>
    </w:lvl>
  </w:abstractNum>
  <w:abstractNum w:abstractNumId="6">
    <w:lvl w:ilvl="0">
      <w:start w:val="1"/>
      <w:numFmt w:val="bullet"/>
      <w:lvlText w:val=""/>
      <w:lvlJc w:val="start"/>
      <w:pPr>
        <w:tabs>
          <w:tab w:val="num" w:pos="720"/>
        </w:tabs>
        <w:ind w:start="720" w:hanging="360"/>
      </w:pPr>
      <w:rPr>
        <w:rFonts w:ascii="Wingdings" w:hAnsi="Wingdings" w:cs="Wingdings" w:hint="default"/>
        <w:sz w:val="16"/>
      </w:rPr>
    </w:lvl>
  </w:abstractNum>
  <w:abstractNum w:abstractNumId="7">
    <w:lvl w:ilvl="0">
      <w:start w:val="1"/>
      <w:numFmt w:val="decimal"/>
      <w:lvlText w:val="%1."/>
      <w:lvlJc w:val="start"/>
      <w:pPr>
        <w:tabs>
          <w:tab w:val="num" w:pos="720"/>
        </w:tabs>
        <w:ind w:start="720" w:hanging="360"/>
      </w:p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Wingdings" w:hAnsi="Wingdings" w:cs="Wingdings" w:hint="default"/>
        <w:sz w:val="16"/>
      </w:rPr>
    </w:lvl>
  </w:abstractNum>
  <w:abstractNum w:abstractNumId="10">
    <w:lvl w:ilvl="0">
      <w:start w:val="1"/>
      <w:numFmt w:val="bullet"/>
      <w:lvlText w:val=""/>
      <w:lvlJc w:val="start"/>
      <w:pPr>
        <w:tabs>
          <w:tab w:val="num" w:pos="720"/>
        </w:tabs>
        <w:ind w:start="720" w:hanging="360"/>
      </w:pPr>
      <w:rPr>
        <w:rFonts w:ascii="Wingdings" w:hAnsi="Wingdings" w:cs="Wingdings" w:hint="default"/>
        <w:sz w:val="16"/>
      </w:rPr>
    </w:lvl>
  </w:abstractNum>
  <w:abstractNum w:abstractNumId="11">
    <w:lvl w:ilvl="0">
      <w:start w:val="1"/>
      <w:numFmt w:val="bullet"/>
      <w:lvlText w:val=""/>
      <w:lvlJc w:val="start"/>
      <w:pPr>
        <w:tabs>
          <w:tab w:val="num" w:pos="720"/>
        </w:tabs>
        <w:ind w:start="720" w:hanging="360"/>
      </w:pPr>
      <w:rPr>
        <w:rFonts w:ascii="Wingdings" w:hAnsi="Wingdings" w:cs="Wingdings" w:hint="default"/>
        <w:sz w:val="1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rFonts w:cs="Arial"/>
      <w:b/>
      <w:bCs/>
      <w:sz w:val="28"/>
      <w:szCs w:val="32"/>
    </w:rPr>
  </w:style>
  <w:style w:type="paragraph" w:styleId="Heading2">
    <w:name w:val="heading 2"/>
    <w:basedOn w:val="Normal"/>
    <w:next w:val="Normal"/>
    <w:qFormat/>
    <w:pPr>
      <w:keepNext w:val="true"/>
      <w:numPr>
        <w:ilvl w:val="1"/>
        <w:numId w:val="1"/>
      </w:numPr>
      <w:spacing w:before="0" w:after="240"/>
      <w:outlineLvl w:val="1"/>
    </w:pPr>
    <w:rPr>
      <w:rFonts w:cs="Arial"/>
      <w:b/>
      <w:bCs/>
      <w:iCs/>
      <w:szCs w:val="28"/>
    </w:rPr>
  </w:style>
  <w:style w:type="paragraph" w:styleId="Heading3">
    <w:name w:val="heading 3"/>
    <w:basedOn w:val="Normal"/>
    <w:next w:val="Normal"/>
    <w:qFormat/>
    <w:pPr>
      <w:keepNext w:val="true"/>
      <w:numPr>
        <w:ilvl w:val="2"/>
        <w:numId w:val="1"/>
      </w:numPr>
      <w:spacing w:before="0" w:after="240"/>
      <w:outlineLvl w:val="2"/>
    </w:pPr>
    <w:rPr>
      <w:rFonts w:cs="Arial"/>
      <w:bCs/>
      <w:szCs w:val="26"/>
    </w:rPr>
  </w:style>
  <w:style w:type="paragraph" w:styleId="Heading4">
    <w:name w:val="heading 4"/>
    <w:basedOn w:val="Normal"/>
    <w:next w:val="Normal"/>
    <w:qFormat/>
    <w:pPr>
      <w:numPr>
        <w:ilvl w:val="3"/>
        <w:numId w:val="1"/>
      </w:numPr>
      <w:spacing w:before="0" w:after="240"/>
      <w:outlineLvl w:val="3"/>
    </w:pPr>
    <w:rPr>
      <w:bCs/>
      <w:szCs w:val="28"/>
    </w:rPr>
  </w:style>
  <w:style w:type="paragraph" w:styleId="Heading5">
    <w:name w:val="heading 5"/>
    <w:basedOn w:val="Normal"/>
    <w:next w:val="Normal"/>
    <w:qFormat/>
    <w:pPr>
      <w:numPr>
        <w:ilvl w:val="4"/>
        <w:numId w:val="1"/>
      </w:numPr>
      <w:spacing w:before="0" w:after="240"/>
      <w:outlineLvl w:val="4"/>
    </w:pPr>
    <w:rPr>
      <w:bCs/>
      <w:iCs/>
      <w:szCs w:val="26"/>
    </w:rPr>
  </w:style>
  <w:style w:type="paragraph" w:styleId="Heading6">
    <w:name w:val="heading 6"/>
    <w:basedOn w:val="Normal"/>
    <w:next w:val="Normal"/>
    <w:qFormat/>
    <w:pPr>
      <w:numPr>
        <w:ilvl w:val="5"/>
        <w:numId w:val="1"/>
      </w:numPr>
      <w:spacing w:before="0" w:after="240"/>
      <w:outlineLvl w:val="5"/>
    </w:pPr>
    <w:rPr>
      <w:bCs/>
      <w:szCs w:val="22"/>
    </w:rPr>
  </w:style>
  <w:style w:type="paragraph" w:styleId="Heading7">
    <w:name w:val="heading 7"/>
    <w:basedOn w:val="Normal"/>
    <w:next w:val="Normal"/>
    <w:qFormat/>
    <w:pPr>
      <w:numPr>
        <w:ilvl w:val="6"/>
        <w:numId w:val="1"/>
      </w:numPr>
      <w:spacing w:before="0" w:after="240"/>
      <w:outlineLvl w:val="6"/>
    </w:pPr>
    <w:rPr/>
  </w:style>
  <w:style w:type="paragraph" w:styleId="Heading8">
    <w:name w:val="heading 8"/>
    <w:basedOn w:val="Normal"/>
    <w:next w:val="Normal"/>
    <w:qFormat/>
    <w:pPr>
      <w:numPr>
        <w:ilvl w:val="7"/>
        <w:numId w:val="1"/>
      </w:numPr>
      <w:spacing w:before="0" w:after="240"/>
      <w:outlineLvl w:val="7"/>
    </w:pPr>
    <w:rPr>
      <w:iCs/>
    </w:rPr>
  </w:style>
  <w:style w:type="paragraph" w:styleId="Heading9">
    <w:name w:val="heading 9"/>
    <w:basedOn w:val="Normal"/>
    <w:next w:val="Normal"/>
    <w:qFormat/>
    <w:pPr>
      <w:numPr>
        <w:ilvl w:val="8"/>
        <w:numId w:val="1"/>
      </w:numPr>
      <w:spacing w:before="0" w:after="240"/>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Wingdings" w:hAnsi="Wingdings" w:cs="Wingdings"/>
      <w:sz w:val="16"/>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style>
  <w:style w:type="character" w:styleId="WW8Num13z0">
    <w:name w:val="WW8Num13z0"/>
    <w:qFormat/>
    <w:rPr>
      <w:rFonts w:ascii="Wingdings" w:hAnsi="Wingdings" w:cs="Wingdings"/>
      <w:sz w:val="16"/>
    </w:rPr>
  </w:style>
  <w:style w:type="character" w:styleId="WW8Num13z1">
    <w:name w:val="WW8Num13z1"/>
    <w:qFormat/>
    <w:rPr>
      <w:rFonts w:ascii="Symbol" w:hAnsi="Symbol" w:cs="Symbol"/>
    </w:rPr>
  </w:style>
  <w:style w:type="character" w:styleId="WW8Num13z2">
    <w:name w:val="WW8Num13z2"/>
    <w:qFormat/>
    <w:rPr>
      <w:rFonts w:ascii="Wingdings" w:hAnsi="Wingdings" w:cs="Wingdings"/>
    </w:rPr>
  </w:style>
  <w:style w:type="character" w:styleId="WW8Num13z4">
    <w:name w:val="WW8Num13z4"/>
    <w:qFormat/>
    <w:rPr>
      <w:rFonts w:ascii="Courier New" w:hAnsi="Courier New" w:cs="Courier New"/>
    </w:rPr>
  </w:style>
  <w:style w:type="character" w:styleId="WW8Num14z0">
    <w:name w:val="WW8Num14z0"/>
    <w:qFormat/>
    <w:rPr>
      <w:rFonts w:ascii="Wingdings" w:hAnsi="Wingdings" w:cs="Wingdings"/>
      <w:sz w:val="16"/>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Wingdings" w:hAnsi="Wingdings" w:cs="Wingdings"/>
      <w:sz w:val="16"/>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Wingdings" w:hAnsi="Wingdings" w:cs="Wingdings"/>
      <w:sz w:val="16"/>
    </w:rPr>
  </w:style>
  <w:style w:type="character" w:styleId="WW8Num20z0">
    <w:name w:val="WW8Num20z0"/>
    <w:qFormat/>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Wingdings" w:hAnsi="Wingdings" w:cs="Wingdings"/>
      <w:sz w:val="16"/>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Wingdings" w:hAnsi="Wingdings" w:cs="Wingdings"/>
      <w:sz w:val="16"/>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3z3">
    <w:name w:val="WW8Num23z3"/>
    <w:qFormat/>
    <w:rPr>
      <w:rFonts w:ascii="Symbol" w:hAnsi="Symbol" w:cs="Symbol"/>
    </w:rPr>
  </w:style>
  <w:style w:type="character" w:styleId="WW8Num24z0">
    <w:name w:val="WW8Num24z0"/>
    <w:qFormat/>
    <w:rPr>
      <w:rFonts w:ascii="Wingdings" w:hAnsi="Wingdings" w:cs="Wingdings"/>
      <w:sz w:val="16"/>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DefaultParagraphFont">
    <w:name w:val="Default Paragraph Font"/>
    <w:qFormat/>
    <w:rPr/>
  </w:style>
  <w:style w:type="character" w:styleId="DocID">
    <w:name w:val="DocID"/>
    <w:basedOn w:val="DefaultParagraphFont"/>
    <w:qFormat/>
    <w:rPr>
      <w:rFonts w:ascii="Arial" w:hAnsi="Arial" w:cs="Arial"/>
      <w:sz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Ind5">
    <w:name w:val="* Block Ind .5"/>
    <w:basedOn w:val="Normal"/>
    <w:qFormat/>
    <w:pPr>
      <w:spacing w:before="0" w:after="240"/>
      <w:ind w:hanging="0" w:start="720" w:end="720"/>
    </w:pPr>
    <w:rPr/>
  </w:style>
  <w:style w:type="paragraph" w:styleId="BlockInd1">
    <w:name w:val="* Block Ind 1"/>
    <w:basedOn w:val="Normal"/>
    <w:qFormat/>
    <w:pPr>
      <w:spacing w:before="0" w:after="240"/>
      <w:ind w:hanging="0" w:start="144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5">
    <w:name w:val="* Body Text .5"/>
    <w:basedOn w:val="Normal"/>
    <w:qFormat/>
    <w:pPr>
      <w:spacing w:before="0" w:after="240"/>
      <w:ind w:firstLine="720" w:start="0" w:end="0"/>
    </w:pPr>
    <w:rPr/>
  </w:style>
  <w:style w:type="paragraph" w:styleId="BodyText1">
    <w:name w:val="* Body Text 1"/>
    <w:basedOn w:val="Normal"/>
    <w:qFormat/>
    <w:pPr>
      <w:spacing w:before="0" w:after="240"/>
      <w:ind w:firstLine="1440" w:start="0" w:end="0"/>
    </w:pPr>
    <w:rPr/>
  </w:style>
  <w:style w:type="paragraph" w:styleId="BodyText15">
    <w:name w:val="* Body Text 1.5"/>
    <w:basedOn w:val="Normal"/>
    <w:qFormat/>
    <w:pPr>
      <w:spacing w:lineRule="auto" w:line="360"/>
      <w:ind w:firstLine="1440" w:start="0" w:end="0"/>
    </w:pPr>
    <w:rPr/>
  </w:style>
  <w:style w:type="paragraph" w:styleId="BodyTextDbl">
    <w:name w:val="* Body Text Dbl"/>
    <w:basedOn w:val="Normal"/>
    <w:qFormat/>
    <w:pPr>
      <w:spacing w:lineRule="auto" w:line="480"/>
      <w:ind w:firstLine="1440" w:start="0" w:end="0"/>
    </w:pPr>
    <w:rPr/>
  </w:style>
  <w:style w:type="paragraph" w:styleId="BulletList">
    <w:name w:val="* Bullet List"/>
    <w:basedOn w:val="Normal"/>
    <w:qFormat/>
    <w:pPr>
      <w:numPr>
        <w:ilvl w:val="0"/>
        <w:numId w:val="8"/>
      </w:numPr>
      <w:tabs>
        <w:tab w:val="clear" w:pos="720"/>
      </w:tabs>
      <w:spacing w:before="0" w:after="240"/>
    </w:pPr>
    <w:rPr/>
  </w:style>
  <w:style w:type="paragraph" w:styleId="JBodyText1">
    <w:name w:val="* J Body Text 1"/>
    <w:basedOn w:val="Normal"/>
    <w:qFormat/>
    <w:pPr>
      <w:spacing w:before="0" w:after="240"/>
      <w:ind w:firstLine="1440" w:start="0" w:end="0"/>
      <w:jc w:val="both"/>
    </w:pPr>
    <w:rPr/>
  </w:style>
  <w:style w:type="paragraph" w:styleId="NumberList">
    <w:name w:val="* Number List"/>
    <w:basedOn w:val="Normal"/>
    <w:qFormat/>
    <w:pPr>
      <w:numPr>
        <w:ilvl w:val="0"/>
        <w:numId w:val="3"/>
      </w:numPr>
      <w:tabs>
        <w:tab w:val="clear" w:pos="720"/>
      </w:tabs>
      <w:spacing w:before="0" w:after="240"/>
    </w:pPr>
    <w:rPr/>
  </w:style>
  <w:style w:type="paragraph" w:styleId="TitleC">
    <w:name w:val="* Title C"/>
    <w:basedOn w:val="Normal"/>
    <w:qFormat/>
    <w:pPr>
      <w:keepNext w:val="true"/>
      <w:spacing w:before="0" w:after="240"/>
      <w:jc w:val="center"/>
    </w:pPr>
    <w:rPr>
      <w:b/>
    </w:rPr>
  </w:style>
  <w:style w:type="paragraph" w:styleId="TitleL">
    <w:name w:val="* Title L"/>
    <w:basedOn w:val="Normal"/>
    <w:qFormat/>
    <w:pPr>
      <w:keepNext w:val="true"/>
      <w:spacing w:before="0" w:after="240"/>
    </w:pPr>
    <w:rPr>
      <w:b/>
    </w:rPr>
  </w:style>
  <w:style w:type="paragraph" w:styleId="Double">
    <w:name w:val="* Double"/>
    <w:basedOn w:val="Normal"/>
    <w:qFormat/>
    <w:pPr>
      <w:spacing w:lineRule="auto" w:line="480"/>
    </w:pPr>
    <w:rPr/>
  </w:style>
  <w:style w:type="paragraph" w:styleId="Normal1">
    <w:name w:val="* Normal"/>
    <w:basedOn w:val="Normal"/>
    <w:qFormat/>
    <w:pPr>
      <w:spacing w:before="0" w:after="240"/>
    </w:pPr>
    <w:rPr/>
  </w:style>
  <w:style w:type="paragraph" w:styleId="EndnoteText">
    <w:name w:val="endnote text"/>
    <w:basedOn w:val="Normal"/>
    <w:next w:val="Normal"/>
    <w:pPr>
      <w:spacing w:before="0" w:after="240"/>
      <w:ind w:hanging="720" w:start="720" w:end="0"/>
    </w:pPr>
    <w:rPr>
      <w:szCs w:val="20"/>
    </w:rPr>
  </w:style>
  <w:style w:type="paragraph" w:styleId="EndnoteTextMore">
    <w:name w:val="Endnote Text More"/>
    <w:basedOn w:val="Normal"/>
    <w:qFormat/>
    <w:pPr>
      <w:spacing w:before="0" w:after="240"/>
      <w:ind w:hanging="0" w:start="720" w:end="0"/>
    </w:pPr>
    <w:rPr/>
  </w:style>
  <w:style w:type="paragraph" w:styleId="Tabletext">
    <w:name w:val="Table text"/>
    <w:basedOn w:val="Normal"/>
    <w:qFormat/>
    <w:pPr/>
    <w:rPr/>
  </w:style>
  <w:style w:type="paragraph" w:styleId="TOAHeading">
    <w:name w:val="TOA Heading"/>
    <w:basedOn w:val="Normal"/>
    <w:next w:val="Normal"/>
    <w:qFormat/>
    <w:pPr>
      <w:spacing w:before="120" w:after="0"/>
    </w:pPr>
    <w:rPr>
      <w:rFonts w:ascii="Arial" w:hAnsi="Arial" w:cs="Arial"/>
      <w:b/>
      <w:bCs/>
    </w:rPr>
  </w:style>
  <w:style w:type="paragraph" w:styleId="TOCHeading">
    <w:name w:val="TOC Heading"/>
    <w:basedOn w:val="Normal"/>
    <w:qFormat/>
    <w:pPr>
      <w:spacing w:before="0" w:after="240"/>
      <w:jc w:val="center"/>
    </w:pPr>
    <w:rPr>
      <w:b/>
      <w:szCs w:val="20"/>
    </w:rPr>
  </w:style>
  <w:style w:type="paragraph" w:styleId="TOCPage">
    <w:name w:val="TOC Page"/>
    <w:basedOn w:val="Normal"/>
    <w:qFormat/>
    <w:pPr>
      <w:spacing w:before="0" w:after="240"/>
      <w:jc w:val="end"/>
    </w:pPr>
    <w:rPr>
      <w:b/>
      <w:szCs w:val="20"/>
    </w:rPr>
  </w:style>
  <w:style w:type="paragraph" w:styleId="Signature">
    <w:name w:val="Signature"/>
    <w:basedOn w:val="Normal"/>
    <w:pPr>
      <w:ind w:hanging="0" w:start="5040" w:end="0"/>
    </w:pPr>
    <w:rPr/>
  </w:style>
  <w:style w:type="paragraph" w:styleId="BlockText">
    <w:name w:val="Block Text"/>
    <w:basedOn w:val="Normal"/>
    <w:qFormat/>
    <w:pPr>
      <w:spacing w:before="0" w:after="120"/>
      <w:ind w:hanging="0" w:start="1440" w:end="1440"/>
    </w:pPr>
    <w:rPr/>
  </w:style>
  <w:style w:type="paragraph" w:styleId="TOC1">
    <w:name w:val="toc 1"/>
    <w:basedOn w:val="Normal"/>
    <w:next w:val="Normal"/>
    <w:pPr>
      <w:tabs>
        <w:tab w:val="clear" w:pos="720"/>
        <w:tab w:val="right" w:pos="9350" w:leader="dot"/>
      </w:tabs>
      <w:ind w:hanging="720" w:start="720" w:end="720"/>
    </w:pPr>
    <w:rPr/>
  </w:style>
  <w:style w:type="paragraph" w:styleId="FootnoteText">
    <w:name w:val="footnote text"/>
    <w:basedOn w:val="Normal"/>
    <w:pPr>
      <w:ind w:hanging="720" w:start="720" w:end="0"/>
    </w:pPr>
    <w:rPr>
      <w:szCs w:val="20"/>
    </w:rPr>
  </w:style>
  <w:style w:type="paragraph" w:styleId="TOC2">
    <w:name w:val="toc 2"/>
    <w:basedOn w:val="Normal"/>
    <w:next w:val="Normal"/>
    <w:pPr>
      <w:tabs>
        <w:tab w:val="clear" w:pos="720"/>
        <w:tab w:val="right" w:pos="9350" w:leader="dot"/>
      </w:tabs>
      <w:ind w:hanging="720" w:start="1440" w:end="720"/>
    </w:pPr>
    <w:rPr/>
  </w:style>
  <w:style w:type="paragraph" w:styleId="TOC3">
    <w:name w:val="toc 3"/>
    <w:basedOn w:val="Normal"/>
    <w:next w:val="Normal"/>
    <w:pPr>
      <w:tabs>
        <w:tab w:val="clear" w:pos="720"/>
        <w:tab w:val="right" w:pos="9350" w:leader="dot"/>
      </w:tabs>
      <w:ind w:hanging="720" w:start="2160" w:end="720"/>
    </w:pPr>
    <w:rPr/>
  </w:style>
  <w:style w:type="paragraph" w:styleId="TOC4">
    <w:name w:val="toc 4"/>
    <w:basedOn w:val="Normal"/>
    <w:next w:val="Normal"/>
    <w:pPr>
      <w:tabs>
        <w:tab w:val="clear" w:pos="720"/>
        <w:tab w:val="right" w:pos="9350" w:leader="dot"/>
      </w:tabs>
      <w:ind w:hanging="720" w:start="2880" w:end="720"/>
    </w:pPr>
    <w:rPr/>
  </w:style>
  <w:style w:type="paragraph" w:styleId="TOC5">
    <w:name w:val="toc 5"/>
    <w:basedOn w:val="Normal"/>
    <w:next w:val="Normal"/>
    <w:pPr>
      <w:tabs>
        <w:tab w:val="clear" w:pos="720"/>
        <w:tab w:val="right" w:pos="9350" w:leader="dot"/>
      </w:tabs>
      <w:ind w:hanging="720" w:start="3600" w:end="720"/>
    </w:pPr>
    <w:rPr/>
  </w:style>
  <w:style w:type="paragraph" w:styleId="TOC6">
    <w:name w:val="toc 6"/>
    <w:basedOn w:val="Normal"/>
    <w:next w:val="Normal"/>
    <w:pPr>
      <w:tabs>
        <w:tab w:val="clear" w:pos="720"/>
        <w:tab w:val="right" w:pos="9350" w:leader="dot"/>
      </w:tabs>
      <w:ind w:hanging="720" w:start="4320" w:end="720"/>
    </w:pPr>
    <w:rPr/>
  </w:style>
  <w:style w:type="paragraph" w:styleId="TOC7">
    <w:name w:val="toc 7"/>
    <w:basedOn w:val="Normal"/>
    <w:next w:val="Normal"/>
    <w:pPr>
      <w:tabs>
        <w:tab w:val="clear" w:pos="720"/>
        <w:tab w:val="right" w:pos="9350" w:leader="dot"/>
      </w:tabs>
      <w:ind w:hanging="720" w:start="5040" w:end="720"/>
    </w:pPr>
    <w:rPr/>
  </w:style>
  <w:style w:type="paragraph" w:styleId="TOC8">
    <w:name w:val="toc 8"/>
    <w:basedOn w:val="Normal"/>
    <w:next w:val="Normal"/>
    <w:pPr>
      <w:tabs>
        <w:tab w:val="clear" w:pos="720"/>
        <w:tab w:val="right" w:pos="9350" w:leader="dot"/>
      </w:tabs>
      <w:ind w:hanging="720" w:start="5760" w:end="720"/>
    </w:pPr>
    <w:rPr/>
  </w:style>
  <w:style w:type="paragraph" w:styleId="TOC9">
    <w:name w:val="toc 9"/>
    <w:basedOn w:val="Normal"/>
    <w:next w:val="Normal"/>
    <w:pPr>
      <w:tabs>
        <w:tab w:val="clear" w:pos="720"/>
        <w:tab w:val="right" w:pos="9350" w:leader="dot"/>
      </w:tabs>
      <w:ind w:hanging="720" w:start="6480" w:end="72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Blank</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2001-11-19T15:46:00Z</dcterms:created>
  <dc:creator>Perry D. Robinson</dc:creator>
  <dc:description/>
  <dc:language>en-CA</dc:language>
  <cp:lastModifiedBy>Susan Lindberg</cp:lastModifiedBy>
  <cp:lastPrinted>2001-11-19T11:13:00Z</cp:lastPrinted>
  <dcterms:modified xsi:type="dcterms:W3CDTF">2001-11-19T15:46:00Z</dcterms:modified>
  <cp:revision>2</cp:revision>
  <dc:subject/>
  <dc:title>Summary of November 14 – 15, 2001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H:\pdr files\ICAs\Summary of November 14 - 15 Meetings.doc</vt:lpwstr>
  </property>
</Properties>
</file>