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Summary of Changes to Market Risk Management Practices</w:t>
      </w:r>
    </w:p>
    <w:p>
      <w:pPr>
        <w:pStyle w:val="Normal"/>
        <w:rPr/>
      </w:pPr>
      <w:r>
        <w:rPr/>
      </w:r>
    </w:p>
    <w:p>
      <w:pPr>
        <w:pStyle w:val="Normal"/>
        <w:rPr/>
      </w:pPr>
      <w:r>
        <w:rPr/>
        <w:t xml:space="preserve">In addition to consolidating Enron's various risk management policies and procedures into one comprehensive Policy, some substantive changes and clarifications were made to the Company’s market risk management practices, as summarized below.  </w:t>
      </w:r>
    </w:p>
    <w:p>
      <w:pPr>
        <w:pStyle w:val="Normal"/>
        <w:rPr/>
      </w:pPr>
      <w:r>
        <w:rPr/>
      </w:r>
    </w:p>
    <w:p>
      <w:pPr>
        <w:pStyle w:val="Normal"/>
        <w:numPr>
          <w:ilvl w:val="0"/>
          <w:numId w:val="9"/>
        </w:numPr>
        <w:rPr/>
      </w:pPr>
      <w:r>
        <w:rPr/>
        <w:t>Increased the VaR Limit for the Trading Portfolio, providing discretion to the Enron Corp. CEO (“CEO”) to allocate such VaR limits within defined parameters</w:t>
      </w:r>
    </w:p>
    <w:p>
      <w:pPr>
        <w:pStyle w:val="Normal"/>
        <w:numPr>
          <w:ilvl w:val="0"/>
          <w:numId w:val="9"/>
        </w:numPr>
        <w:rPr/>
      </w:pPr>
      <w:r>
        <w:rPr/>
        <w:t>Established an Expected Tail Loss Advisory Limit for the Trading Portfolio</w:t>
      </w:r>
    </w:p>
    <w:p>
      <w:pPr>
        <w:pStyle w:val="Normal"/>
        <w:numPr>
          <w:ilvl w:val="0"/>
          <w:numId w:val="9"/>
        </w:numPr>
        <w:rPr/>
      </w:pPr>
      <w:r>
        <w:rPr/>
        <w:t>Revised the Market Risk Limit Structure within each Portfolio to delegate more discretion for individual Business Unit and Commodity Group limits to the CEO and Risk Management Committee</w:t>
      </w:r>
    </w:p>
    <w:p>
      <w:pPr>
        <w:pStyle w:val="Normal"/>
        <w:numPr>
          <w:ilvl w:val="0"/>
          <w:numId w:val="4"/>
        </w:numPr>
        <w:rPr/>
      </w:pPr>
      <w:r>
        <w:rPr/>
        <w:t xml:space="preserve">Concentration VaR Limits approved by </w:t>
      </w:r>
      <w:r>
        <w:rPr>
          <w:color w:val="FF0000"/>
        </w:rPr>
        <w:t xml:space="preserve">Board of Directors </w:t>
      </w:r>
    </w:p>
    <w:p>
      <w:pPr>
        <w:pStyle w:val="Normal"/>
        <w:numPr>
          <w:ilvl w:val="0"/>
          <w:numId w:val="4"/>
        </w:numPr>
        <w:rPr>
          <w:color w:val="FF0000"/>
        </w:rPr>
      </w:pPr>
      <w:r>
        <w:rPr/>
        <w:t xml:space="preserve">Business Unit VaR Limits approved by </w:t>
      </w:r>
      <w:r>
        <w:rPr>
          <w:color w:val="FF0000"/>
        </w:rPr>
        <w:t>CEO / Risk Management Committee</w:t>
      </w:r>
    </w:p>
    <w:p>
      <w:pPr>
        <w:pStyle w:val="Normal"/>
        <w:numPr>
          <w:ilvl w:val="0"/>
          <w:numId w:val="4"/>
        </w:numPr>
        <w:rPr/>
      </w:pPr>
      <w:r>
        <w:rPr/>
        <w:t xml:space="preserve">Commodity Group Limits for each Business Unit approved by </w:t>
      </w:r>
      <w:r>
        <w:rPr>
          <w:color w:val="FF0000"/>
        </w:rPr>
        <w:t>CEO / Risk Management Committee</w:t>
      </w:r>
    </w:p>
    <w:p>
      <w:pPr>
        <w:pStyle w:val="Normal"/>
        <w:numPr>
          <w:ilvl w:val="0"/>
          <w:numId w:val="4"/>
        </w:numPr>
        <w:rPr/>
      </w:pPr>
      <w:r>
        <w:rPr/>
        <w:t xml:space="preserve">Trader/Desk Limits approved by </w:t>
      </w:r>
      <w:r>
        <w:rPr>
          <w:color w:val="FF0000"/>
        </w:rPr>
        <w:t>Business Unit Office of the Chairman</w:t>
      </w:r>
    </w:p>
    <w:p>
      <w:pPr>
        <w:pStyle w:val="Normal"/>
        <w:rPr/>
      </w:pPr>
      <w:r>
        <w:rPr/>
      </w:r>
    </w:p>
    <w:p>
      <w:pPr>
        <w:pStyle w:val="Heading1"/>
        <w:rPr/>
      </w:pPr>
      <w:r>
        <w:rPr/>
        <w:t>Key Points re: the Limit Structure</w:t>
      </w:r>
    </w:p>
    <w:p>
      <w:pPr>
        <w:pStyle w:val="Normal"/>
        <w:numPr>
          <w:ilvl w:val="0"/>
          <w:numId w:val="2"/>
        </w:numPr>
        <w:rPr/>
      </w:pPr>
      <w:r>
        <w:rPr/>
        <w:t xml:space="preserve">Concentration Limits are established on 6 large buckets of commodity groups; this bucketing focuses on market indicators from a Board perspective, </w:t>
      </w:r>
      <w:r>
        <w:rPr>
          <w:u w:val="single"/>
        </w:rPr>
        <w:t>not according to Enron’s organizational structure</w:t>
      </w:r>
      <w:r>
        <w:rPr/>
        <w:t xml:space="preserve">; </w:t>
      </w:r>
    </w:p>
    <w:p>
      <w:pPr>
        <w:pStyle w:val="Normal"/>
        <w:numPr>
          <w:ilvl w:val="0"/>
          <w:numId w:val="6"/>
        </w:numPr>
        <w:rPr>
          <w:color w:val="000080"/>
        </w:rPr>
      </w:pPr>
      <w:r>
        <w:rPr/>
        <w:t xml:space="preserve">1) </w:t>
      </w:r>
      <w:r>
        <w:rPr>
          <w:color w:val="000080"/>
        </w:rPr>
        <w:t xml:space="preserve">Americas Gas, 2) Americas Power, 3) European Gas &amp; Power, </w:t>
      </w:r>
    </w:p>
    <w:p>
      <w:pPr>
        <w:pStyle w:val="Normal"/>
        <w:ind w:start="1440" w:end="0"/>
        <w:rPr>
          <w:color w:val="000080"/>
        </w:rPr>
      </w:pPr>
      <w:r>
        <w:rPr>
          <w:color w:val="000080"/>
        </w:rPr>
        <w:t>4) Products, 5) Financials, and 6) Emerging Businesses</w:t>
      </w:r>
    </w:p>
    <w:p>
      <w:pPr>
        <w:pStyle w:val="Normal"/>
        <w:numPr>
          <w:ilvl w:val="1"/>
          <w:numId w:val="6"/>
        </w:numPr>
        <w:rPr>
          <w:sz w:val="20"/>
        </w:rPr>
      </w:pPr>
      <w:r>
        <w:rPr>
          <w:sz w:val="20"/>
        </w:rPr>
        <w:t>Examples:  Americas Power Concentration Limit includes Global Risk Markets; Financials Concentration Limit includes Credit; Appendix A of the Policy lists the individual Commodity Groups comprising each Concentration Limit</w:t>
      </w:r>
    </w:p>
    <w:p>
      <w:pPr>
        <w:pStyle w:val="Normal"/>
        <w:numPr>
          <w:ilvl w:val="0"/>
          <w:numId w:val="3"/>
        </w:numPr>
        <w:rPr/>
      </w:pPr>
      <w:r>
        <w:rPr/>
        <w:t>CEO/Risk Management Committee has discretion to allocate the Trading Portfolio VaR limit among the Enron Business Units, subject to the Concentration Limits approved by the Board</w:t>
      </w:r>
    </w:p>
    <w:p>
      <w:pPr>
        <w:pStyle w:val="Normal"/>
        <w:numPr>
          <w:ilvl w:val="0"/>
          <w:numId w:val="3"/>
        </w:numPr>
        <w:rPr/>
      </w:pPr>
      <w:r>
        <w:rPr/>
        <w:t>Expected Tail Loss is a new risk metric, and accordingly, an advisory limit is established only at the total Trading Portfolio level; some Commodity Groups may have the measurement calculated in RisktRAC, but no limit is set</w:t>
      </w:r>
    </w:p>
    <w:p>
      <w:pPr>
        <w:pStyle w:val="Normal"/>
        <w:numPr>
          <w:ilvl w:val="0"/>
          <w:numId w:val="3"/>
        </w:numPr>
        <w:rPr/>
      </w:pPr>
      <w:r>
        <w:rPr/>
        <w:t>Business Unit VaR Limits are to be set for each Enron Business Unit (i.e. Enron Americas, Enron Global Markets, Enron Europe, etc. – any Business Units recognized as having authority for trading by the CEO)</w:t>
      </w:r>
    </w:p>
    <w:p>
      <w:pPr>
        <w:pStyle w:val="Normal"/>
        <w:numPr>
          <w:ilvl w:val="0"/>
          <w:numId w:val="3"/>
        </w:numPr>
        <w:rPr/>
      </w:pPr>
      <w:r>
        <w:rPr/>
        <w:t xml:space="preserve">Commodity Group Limits </w:t>
      </w:r>
      <w:r>
        <w:rPr>
          <w:u w:val="single"/>
        </w:rPr>
        <w:t>are now to be set at a Business Unit level</w:t>
      </w:r>
      <w:r>
        <w:rPr/>
        <w:t>, representing the individual Business Unit’s authority for trading specific commodities</w:t>
      </w:r>
    </w:p>
    <w:p>
      <w:pPr>
        <w:pStyle w:val="Normal"/>
        <w:numPr>
          <w:ilvl w:val="1"/>
          <w:numId w:val="3"/>
        </w:numPr>
        <w:rPr/>
      </w:pPr>
      <w:r>
        <w:rPr/>
        <w:t xml:space="preserve">every Business Unit shall have a Commodity Group Limit for any commodities for which they are authorized to trade; </w:t>
      </w:r>
    </w:p>
    <w:p>
      <w:pPr>
        <w:pStyle w:val="Normal"/>
        <w:numPr>
          <w:ilvl w:val="1"/>
          <w:numId w:val="3"/>
        </w:numPr>
        <w:rPr/>
      </w:pPr>
      <w:r>
        <w:rPr/>
        <w:t>these Commodity Group Limits and corresponding risk reporting will enable top management and the Risk Management Committee to quickly understand risk parameters on a “pure” commodity group basis within each Enron Business Unit;</w:t>
      </w:r>
    </w:p>
    <w:p>
      <w:pPr>
        <w:pStyle w:val="Normal"/>
        <w:numPr>
          <w:ilvl w:val="0"/>
          <w:numId w:val="3"/>
        </w:numPr>
        <w:rPr/>
      </w:pPr>
      <w:r>
        <w:rPr/>
        <w:t>Each Enron Business Unit OOC can establish Trader/Desk Level Limits and/or related risk reporting as they require, enabling them to view their trading results the way they manage their business (i.e., the same trader may actually trade more than one commodity, and therefore wish to view risk parameters for several commodities combined, etc.)</w:t>
      </w:r>
      <w:r>
        <w:br w:type="page"/>
      </w:r>
    </w:p>
    <w:p>
      <w:pPr>
        <w:pStyle w:val="Normal"/>
        <w:rPr/>
      </w:pPr>
      <w:r>
        <w:rPr/>
      </w:r>
    </w:p>
    <w:p>
      <w:pPr>
        <w:pStyle w:val="Normal"/>
        <w:rPr/>
      </w:pPr>
      <w:r>
        <w:rPr>
          <w:b/>
          <w:bCs/>
          <w:color w:val="0000FF"/>
        </w:rPr>
        <w:t>Risk Management</w:t>
      </w:r>
      <w:r>
        <w:rPr>
          <w:color w:val="0000FF"/>
        </w:rPr>
        <w:t xml:space="preserve"> </w:t>
      </w:r>
      <w:r>
        <w:rPr>
          <w:b/>
          <w:bCs/>
          <w:color w:val="0000FF"/>
        </w:rPr>
        <w:t>Benefits of Limit Structure</w:t>
      </w:r>
      <w:r>
        <w:rPr>
          <w:color w:val="0000FF"/>
        </w:rPr>
        <w:t xml:space="preserve">: 1) CEO flexibility below the Concentration Limit level, and 2) individual Business Units have clearly defined trading authority, enabling the Risk Management Committee to authorize business units to trade in the same commodities while strengthening risk management practices to facilitate compliance with the Board approved Concentration Limits </w:t>
      </w:r>
    </w:p>
    <w:p>
      <w:pPr>
        <w:pStyle w:val="Normal"/>
        <w:rPr>
          <w:color w:val="0000FF"/>
        </w:rPr>
      </w:pPr>
      <w:r>
        <w:rPr>
          <w:color w:val="0000FF"/>
        </w:rPr>
      </w:r>
    </w:p>
    <w:p>
      <w:pPr>
        <w:pStyle w:val="Heading2"/>
        <w:ind w:hanging="0" w:start="0"/>
        <w:rPr>
          <w:u w:val="none"/>
        </w:rPr>
      </w:pPr>
      <w:r>
        <w:rPr>
          <w:u w:val="none"/>
        </w:rPr>
        <w:t>Limit Monitoring and Reporting</w:t>
      </w:r>
    </w:p>
    <w:p>
      <w:pPr>
        <w:pStyle w:val="Normal"/>
        <w:numPr>
          <w:ilvl w:val="0"/>
          <w:numId w:val="5"/>
        </w:numPr>
        <w:rPr/>
      </w:pPr>
      <w:r>
        <w:rPr/>
        <w:t>All position and VaR violations are triggered at 100% of the respective limit</w:t>
      </w:r>
    </w:p>
    <w:p>
      <w:pPr>
        <w:pStyle w:val="Normal"/>
        <w:numPr>
          <w:ilvl w:val="0"/>
          <w:numId w:val="5"/>
        </w:numPr>
        <w:rPr/>
      </w:pPr>
      <w:r>
        <w:rPr/>
        <w:t>All Daily Loss notifications are triggered at 100% of the VaR limit</w:t>
      </w:r>
    </w:p>
    <w:p>
      <w:pPr>
        <w:pStyle w:val="Normal"/>
        <w:numPr>
          <w:ilvl w:val="0"/>
          <w:numId w:val="5"/>
        </w:numPr>
        <w:rPr/>
      </w:pPr>
      <w:r>
        <w:rPr/>
        <w:t xml:space="preserve">All Cumulative 5-day Loss notifications are triggered at 225% of the VaR limit </w:t>
      </w:r>
    </w:p>
    <w:p>
      <w:pPr>
        <w:pStyle w:val="Normal"/>
        <w:numPr>
          <w:ilvl w:val="0"/>
          <w:numId w:val="5"/>
        </w:numPr>
        <w:rPr/>
      </w:pPr>
      <w:r>
        <w:rPr/>
        <w:t>Trading Portfolio limit monitoring reported to the Board</w:t>
      </w:r>
    </w:p>
    <w:p>
      <w:pPr>
        <w:pStyle w:val="Normal"/>
        <w:numPr>
          <w:ilvl w:val="0"/>
          <w:numId w:val="5"/>
        </w:numPr>
        <w:rPr/>
      </w:pPr>
      <w:r>
        <w:rPr/>
        <w:t>Concentration limit monitoring reported up to the CEO, and at Board meetings</w:t>
      </w:r>
    </w:p>
    <w:p>
      <w:pPr>
        <w:pStyle w:val="Normal"/>
        <w:numPr>
          <w:ilvl w:val="0"/>
          <w:numId w:val="5"/>
        </w:numPr>
        <w:rPr/>
      </w:pPr>
      <w:r>
        <w:rPr/>
        <w:t>Business Unit and Commodity Group limit monitoring reported up to the Risk Management Committee</w:t>
      </w:r>
    </w:p>
    <w:p>
      <w:pPr>
        <w:pStyle w:val="Normal"/>
        <w:numPr>
          <w:ilvl w:val="0"/>
          <w:numId w:val="5"/>
        </w:numPr>
        <w:rPr/>
      </w:pPr>
      <w:r>
        <w:rPr/>
        <w:t>Trader/Desk Level Limits and related reporting to be established by each business unit</w:t>
      </w:r>
    </w:p>
    <w:p>
      <w:pPr>
        <w:pStyle w:val="Normal"/>
        <w:rPr/>
      </w:pPr>
      <w:r>
        <w:rPr/>
      </w:r>
    </w:p>
    <w:p>
      <w:pPr>
        <w:pStyle w:val="Heading3"/>
        <w:ind w:hanging="0" w:start="0"/>
        <w:rPr/>
      </w:pPr>
      <w:r>
        <w:rPr/>
        <w:t>Overall Portfolio Structure</w:t>
      </w:r>
    </w:p>
    <w:p>
      <w:pPr>
        <w:pStyle w:val="Normal"/>
        <w:numPr>
          <w:ilvl w:val="0"/>
          <w:numId w:val="7"/>
        </w:numPr>
        <w:tabs>
          <w:tab w:val="clear" w:pos="720"/>
          <w:tab w:val="left" w:pos="360" w:leader="none"/>
        </w:tabs>
        <w:ind w:hanging="360" w:start="360" w:end="0"/>
        <w:rPr/>
      </w:pPr>
      <w:r>
        <w:rPr/>
        <w:t xml:space="preserve">Expanded the Trading Portfolio includes all of Enron's mark-to-market trading activity, including speculative trading of PGE and ETS </w:t>
      </w:r>
    </w:p>
    <w:p>
      <w:pPr>
        <w:pStyle w:val="Normal"/>
        <w:numPr>
          <w:ilvl w:val="0"/>
          <w:numId w:val="8"/>
        </w:numPr>
        <w:tabs>
          <w:tab w:val="clear" w:pos="720"/>
          <w:tab w:val="left" w:pos="360" w:leader="none"/>
        </w:tabs>
        <w:ind w:hanging="360" w:start="360" w:end="0"/>
        <w:rPr/>
      </w:pPr>
      <w:r>
        <w:rPr/>
        <w:t>Merchant Portfolio does not have established limits</w:t>
      </w:r>
    </w:p>
    <w:p>
      <w:pPr>
        <w:pStyle w:val="Normal"/>
        <w:numPr>
          <w:ilvl w:val="0"/>
          <w:numId w:val="8"/>
        </w:numPr>
        <w:tabs>
          <w:tab w:val="clear" w:pos="720"/>
          <w:tab w:val="left" w:pos="360" w:leader="none"/>
        </w:tabs>
        <w:ind w:hanging="360" w:start="360" w:end="0"/>
        <w:rPr/>
      </w:pPr>
      <w:r>
        <w:rPr/>
        <w:t>Clarified that the Capital Portfolio is to capture and manage all positions related to Enron’s capital structure; the VaR limit established is a Concentration Limit for Enron stock related transactions; as other positions are captured and measured, additional limits may be established as needed</w:t>
      </w:r>
    </w:p>
    <w:p>
      <w:pPr>
        <w:pStyle w:val="Normal"/>
        <w:numPr>
          <w:ilvl w:val="0"/>
          <w:numId w:val="7"/>
        </w:numPr>
        <w:tabs>
          <w:tab w:val="clear" w:pos="720"/>
          <w:tab w:val="left" w:pos="360" w:leader="none"/>
        </w:tabs>
        <w:ind w:hanging="360" w:start="360" w:end="0"/>
        <w:rPr/>
      </w:pPr>
      <w:r>
        <w:rPr/>
        <w:t>Added a new "Regulated" Portfolio for certain transportation and distribution activities (a VaR limit was established by the Board for PGE's regulated activities)</w:t>
      </w:r>
    </w:p>
    <w:p>
      <w:pPr>
        <w:pStyle w:val="Normal"/>
        <w:numPr>
          <w:ilvl w:val="0"/>
          <w:numId w:val="8"/>
        </w:numPr>
        <w:tabs>
          <w:tab w:val="clear" w:pos="720"/>
          <w:tab w:val="left" w:pos="360" w:leader="none"/>
        </w:tabs>
        <w:ind w:hanging="360" w:start="360" w:end="0"/>
        <w:rPr/>
      </w:pPr>
      <w:r>
        <w:rPr/>
        <w:t>Added a new “Other Assets &amp; Contracts” Portfolio to capture and manage accrual or other type of positions not otherwise captured in the other Portfolios; no limits established</w:t>
      </w:r>
    </w:p>
    <w:p>
      <w:pPr>
        <w:pStyle w:val="Normal"/>
        <w:ind w:start="360" w:end="0"/>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2"/>
      <w:numFmt w:val="decimal"/>
      <w:lvlText w:val="%1."/>
      <w:lvlJc w:val="start"/>
      <w:pPr>
        <w:tabs>
          <w:tab w:val="num" w:pos="720"/>
        </w:tabs>
        <w:ind w:start="720" w:hanging="360"/>
      </w:pPr>
      <w:rPr/>
    </w:lvl>
    <w:lvl w:ilvl="1">
      <w:start w:val="1"/>
      <w:numFmt w:val="bullet"/>
      <w:lvlText w:val=""/>
      <w:lvlJc w:val="start"/>
      <w:pPr>
        <w:tabs>
          <w:tab w:val="num" w:pos="1440"/>
        </w:tabs>
        <w:ind w:start="1440" w:hanging="360"/>
      </w:pPr>
      <w:rPr>
        <w:rFonts w:ascii="Symbol" w:hAnsi="Symbol" w:cs="Symbol" w:hint="default"/>
      </w:rPr>
    </w:lvl>
    <w:lvl w:ilvl="2">
      <w:start w:val="1"/>
      <w:numFmt w:val="bullet"/>
      <w:lvlText w:val=""/>
      <w:lvlJc w:val="start"/>
      <w:pPr>
        <w:tabs>
          <w:tab w:val="num" w:pos="2340"/>
        </w:tabs>
        <w:ind w:start="2340" w:hanging="360"/>
      </w:pPr>
      <w:rPr>
        <w:rFonts w:ascii="Symbol" w:hAnsi="Symbol" w:cs="Symbol" w:hint="default"/>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4">
    <w:lvl w:ilvl="0">
      <w:start w:val="1"/>
      <w:numFmt w:val="lowerLetter"/>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080"/>
        </w:tabs>
        <w:ind w:start="1080" w:hanging="360"/>
      </w:pPr>
      <w:rPr>
        <w:rFonts w:ascii="Symbol" w:hAnsi="Symbol" w:cs="Symbol" w:hint="default"/>
      </w:rPr>
    </w:lvl>
    <w:lvl w:ilvl="1">
      <w:start w:val="1"/>
      <w:numFmt w:val="bullet"/>
      <w:lvlText w:val="o"/>
      <w:lvlJc w:val="start"/>
      <w:pPr>
        <w:tabs>
          <w:tab w:val="num" w:pos="1800"/>
        </w:tabs>
        <w:ind w:start="1800" w:hanging="360"/>
      </w:pPr>
      <w:rPr>
        <w:rFonts w:ascii="Courier New" w:hAnsi="Courier New" w:cs="Courier New" w:hint="default"/>
      </w:rPr>
    </w:lvl>
    <w:lvl w:ilvl="2">
      <w:start w:val="1"/>
      <w:numFmt w:val="bullet"/>
      <w:lvlText w:val=""/>
      <w:lvlJc w:val="start"/>
      <w:pPr>
        <w:tabs>
          <w:tab w:val="num" w:pos="2520"/>
        </w:tabs>
        <w:ind w:start="2520" w:hanging="360"/>
      </w:pPr>
      <w:rPr>
        <w:rFonts w:ascii="Wingdings" w:hAnsi="Wingdings" w:cs="Wingdings" w:hint="default"/>
      </w:rPr>
    </w:lvl>
    <w:lvl w:ilvl="3">
      <w:start w:val="1"/>
      <w:numFmt w:val="bullet"/>
      <w:lvlText w:val=""/>
      <w:lvlJc w:val="start"/>
      <w:pPr>
        <w:tabs>
          <w:tab w:val="num" w:pos="3240"/>
        </w:tabs>
        <w:ind w:start="3240" w:hanging="360"/>
      </w:pPr>
      <w:rPr>
        <w:rFonts w:ascii="Symbol" w:hAnsi="Symbol" w:cs="Symbol" w:hint="default"/>
      </w:rPr>
    </w:lvl>
    <w:lvl w:ilvl="4">
      <w:start w:val="1"/>
      <w:numFmt w:val="bullet"/>
      <w:lvlText w:val="o"/>
      <w:lvlJc w:val="start"/>
      <w:pPr>
        <w:tabs>
          <w:tab w:val="num" w:pos="3960"/>
        </w:tabs>
        <w:ind w:start="3960" w:hanging="360"/>
      </w:pPr>
      <w:rPr>
        <w:rFonts w:ascii="Courier New" w:hAnsi="Courier New" w:cs="Courier New" w:hint="default"/>
      </w:rPr>
    </w:lvl>
    <w:lvl w:ilvl="5">
      <w:start w:val="1"/>
      <w:numFmt w:val="bullet"/>
      <w:lvlText w:val=""/>
      <w:lvlJc w:val="start"/>
      <w:pPr>
        <w:tabs>
          <w:tab w:val="num" w:pos="4680"/>
        </w:tabs>
        <w:ind w:start="4680" w:hanging="360"/>
      </w:pPr>
      <w:rPr>
        <w:rFonts w:ascii="Wingdings" w:hAnsi="Wingdings" w:cs="Wingdings" w:hint="default"/>
      </w:rPr>
    </w:lvl>
    <w:lvl w:ilvl="6">
      <w:start w:val="1"/>
      <w:numFmt w:val="bullet"/>
      <w:lvlText w:val=""/>
      <w:lvlJc w:val="start"/>
      <w:pPr>
        <w:tabs>
          <w:tab w:val="num" w:pos="5400"/>
        </w:tabs>
        <w:ind w:start="5400" w:hanging="360"/>
      </w:pPr>
      <w:rPr>
        <w:rFonts w:ascii="Symbol" w:hAnsi="Symbol" w:cs="Symbol" w:hint="default"/>
      </w:rPr>
    </w:lvl>
    <w:lvl w:ilvl="7">
      <w:start w:val="1"/>
      <w:numFmt w:val="bullet"/>
      <w:lvlText w:val="o"/>
      <w:lvlJc w:val="start"/>
      <w:pPr>
        <w:tabs>
          <w:tab w:val="num" w:pos="6120"/>
        </w:tabs>
        <w:ind w:start="6120" w:hanging="360"/>
      </w:pPr>
      <w:rPr>
        <w:rFonts w:ascii="Courier New" w:hAnsi="Courier New" w:cs="Courier New" w:hint="default"/>
      </w:rPr>
    </w:lvl>
    <w:lvl w:ilvl="8">
      <w:start w:val="1"/>
      <w:numFmt w:val="bullet"/>
      <w:lvlText w:val=""/>
      <w:lvlJc w:val="start"/>
      <w:pPr>
        <w:tabs>
          <w:tab w:val="num" w:pos="6840"/>
        </w:tabs>
        <w:ind w:start="6840" w:hanging="360"/>
      </w:pPr>
      <w:rPr>
        <w:rFonts w:ascii="Wingdings" w:hAnsi="Wingdings" w:cs="Wingdings" w:hint="default"/>
      </w:rPr>
    </w:lvl>
  </w:abstractNum>
  <w:abstractNum w:abstractNumId="7">
    <w:lvl w:ilvl="0">
      <w:start w:val="1"/>
      <w:numFmt w:val="bullet"/>
      <w:lvlText w:val=""/>
      <w:lvlJc w:val="start"/>
      <w:pPr>
        <w:tabs>
          <w:tab w:val="num" w:pos="1080"/>
        </w:tabs>
        <w:ind w:start="108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decimal"/>
      <w:lvlText w:val="%1."/>
      <w:lvlJc w:val="start"/>
      <w:pPr>
        <w:tabs>
          <w:tab w:val="num" w:pos="720"/>
        </w:tabs>
        <w:ind w:star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bidi="ar-SA" w:eastAsia="zh-CN"/>
    </w:rPr>
  </w:style>
  <w:style w:type="paragraph" w:styleId="Heading1">
    <w:name w:val="heading 1"/>
    <w:basedOn w:val="Normal"/>
    <w:next w:val="Normal"/>
    <w:qFormat/>
    <w:pPr>
      <w:keepNext w:val="true"/>
      <w:numPr>
        <w:ilvl w:val="0"/>
        <w:numId w:val="1"/>
      </w:numPr>
      <w:ind w:hanging="0" w:start="360" w:end="0"/>
      <w:outlineLvl w:val="0"/>
    </w:pPr>
    <w:rPr>
      <w:b/>
      <w:bCs/>
    </w:rPr>
  </w:style>
  <w:style w:type="paragraph" w:styleId="Heading2">
    <w:name w:val="heading 2"/>
    <w:basedOn w:val="Normal"/>
    <w:next w:val="Normal"/>
    <w:qFormat/>
    <w:pPr>
      <w:keepNext w:val="true"/>
      <w:numPr>
        <w:ilvl w:val="1"/>
        <w:numId w:val="1"/>
      </w:numPr>
      <w:outlineLvl w:val="1"/>
    </w:pPr>
    <w:rPr>
      <w:b/>
      <w:bCs/>
      <w:u w:val="single"/>
    </w:rPr>
  </w:style>
  <w:style w:type="paragraph" w:styleId="Heading3">
    <w:name w:val="heading 3"/>
    <w:basedOn w:val="Normal"/>
    <w:next w:val="Normal"/>
    <w:qFormat/>
    <w:pPr>
      <w:keepNext w:val="true"/>
      <w:numPr>
        <w:ilvl w:val="2"/>
        <w:numId w:val="1"/>
      </w:numPr>
      <w:outlineLvl w:val="2"/>
    </w:pPr>
    <w:rPr>
      <w:b/>
      <w:bCs/>
    </w:rPr>
  </w:style>
  <w:style w:type="character" w:styleId="WW8Num3z0">
    <w:name w:val="WW8Num3z0"/>
    <w:qFormat/>
    <w:rPr/>
  </w:style>
  <w:style w:type="character" w:styleId="WW8Num3z1">
    <w:name w:val="WW8Num3z1"/>
    <w:qFormat/>
    <w:rPr>
      <w:rFonts w:ascii="Symbol" w:hAnsi="Symbol" w:cs="Symbol"/>
    </w:rPr>
  </w:style>
  <w:style w:type="character" w:styleId="WW8Num5z0">
    <w:name w:val="WW8Num5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8z2">
    <w:name w:val="WW8Num8z2"/>
    <w:qFormat/>
    <w:rPr>
      <w:rFonts w:ascii="Wingdings" w:hAnsi="Wingdings" w:cs="Wingdings"/>
    </w:rPr>
  </w:style>
  <w:style w:type="character" w:styleId="WW8Num8z4">
    <w:name w:val="WW8Num8z4"/>
    <w:qFormat/>
    <w:rPr>
      <w:rFonts w:ascii="Courier New" w:hAnsi="Courier New" w:cs="Courier New"/>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2">
    <w:name w:val="WW8Num13z2"/>
    <w:qFormat/>
    <w:rPr>
      <w:rFonts w:ascii="Symbol" w:hAnsi="Symbol" w:cs="Symbol"/>
    </w:rPr>
  </w:style>
  <w:style w:type="character" w:styleId="WW8Num14z0">
    <w:name w:val="WW8Num14z0"/>
    <w:qFormat/>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My 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2001-08-23T20:37:00Z</dcterms:created>
  <dc:creator>cschult</dc:creator>
  <dc:description/>
  <dc:language>en-CA</dc:language>
  <cp:lastModifiedBy>cschult</cp:lastModifiedBy>
  <cp:lastPrinted>2001-08-23T17:27:00Z</cp:lastPrinted>
  <dcterms:modified xsi:type="dcterms:W3CDTF">2001-08-23T20:45:00Z</dcterms:modified>
  <cp:revision>3</cp:revision>
  <dc:subject/>
  <dc:title>Ray,</dc:title>
</cp:coreProperties>
</file>