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Summary of Issues Related to the Protocols Supplemental Filing</w:t>
      </w:r>
    </w:p>
    <w:p>
      <w:pPr>
        <w:pStyle w:val="Normal"/>
        <w:jc w:val="center"/>
        <w:rPr>
          <w:sz w:val="24"/>
        </w:rPr>
      </w:pPr>
      <w:r>
        <w:rPr>
          <w:sz w:val="24"/>
        </w:rPr>
      </w:r>
    </w:p>
    <w:p>
      <w:pPr>
        <w:pStyle w:val="Normal"/>
        <w:rPr>
          <w:sz w:val="24"/>
        </w:rPr>
      </w:pPr>
      <w:r>
        <w:rPr>
          <w:b/>
          <w:sz w:val="24"/>
        </w:rPr>
        <w:t>Texas Industrial Energy Consumers:</w:t>
      </w:r>
    </w:p>
    <w:p>
      <w:pPr>
        <w:pStyle w:val="Normal"/>
        <w:rPr>
          <w:sz w:val="24"/>
        </w:rPr>
      </w:pPr>
      <w:r>
        <w:rPr>
          <w:sz w:val="24"/>
        </w:rPr>
      </w:r>
    </w:p>
    <w:p>
      <w:pPr>
        <w:pStyle w:val="Normal"/>
        <w:numPr>
          <w:ilvl w:val="0"/>
          <w:numId w:val="3"/>
        </w:numPr>
        <w:rPr>
          <w:sz w:val="24"/>
        </w:rPr>
      </w:pPr>
      <w:r>
        <w:rPr>
          <w:sz w:val="24"/>
        </w:rPr>
        <w:t>Will Balancing-Up Loads (BUL) would in place for the market opening on</w:t>
      </w:r>
    </w:p>
    <w:p>
      <w:pPr>
        <w:pStyle w:val="Normal"/>
        <w:rPr/>
      </w:pPr>
      <w:r>
        <w:rPr>
          <w:sz w:val="24"/>
        </w:rPr>
        <w:t>January 1, 2002?  Should BUL be better defined/described in the Protocols?  [</w:t>
      </w:r>
      <w:r>
        <w:rPr>
          <w:i/>
          <w:sz w:val="24"/>
        </w:rPr>
        <w:t>Supports BUL</w:t>
      </w:r>
      <w:r>
        <w:rPr>
          <w:sz w:val="24"/>
        </w:rPr>
        <w:t>.]</w:t>
      </w:r>
    </w:p>
    <w:p>
      <w:pPr>
        <w:pStyle w:val="Normal"/>
        <w:rPr>
          <w:sz w:val="24"/>
        </w:rPr>
      </w:pPr>
      <w:r>
        <w:rPr>
          <w:sz w:val="24"/>
        </w:rPr>
      </w:r>
    </w:p>
    <w:p>
      <w:pPr>
        <w:pStyle w:val="Normal"/>
        <w:rPr>
          <w:sz w:val="24"/>
        </w:rPr>
      </w:pPr>
      <w:r>
        <w:rPr>
          <w:b/>
          <w:sz w:val="24"/>
        </w:rPr>
        <w:t>AES NewEnergy:</w:t>
      </w:r>
    </w:p>
    <w:p>
      <w:pPr>
        <w:pStyle w:val="Normal"/>
        <w:rPr>
          <w:sz w:val="24"/>
        </w:rPr>
      </w:pPr>
      <w:r>
        <w:rPr>
          <w:sz w:val="24"/>
        </w:rPr>
      </w:r>
    </w:p>
    <w:p>
      <w:pPr>
        <w:pStyle w:val="Normal"/>
        <w:rPr>
          <w:sz w:val="24"/>
        </w:rPr>
      </w:pPr>
      <w:r>
        <w:rPr>
          <w:sz w:val="24"/>
        </w:rPr>
        <w:t>1.</w:t>
        <w:tab/>
        <w:t>Should QSE’s be able to post a surety bond to meet creditworthiness requirements?</w:t>
      </w:r>
    </w:p>
    <w:p>
      <w:pPr>
        <w:pStyle w:val="Normal"/>
        <w:rPr>
          <w:sz w:val="24"/>
        </w:rPr>
      </w:pPr>
      <w:r>
        <w:rPr>
          <w:sz w:val="24"/>
        </w:rPr>
      </w:r>
    </w:p>
    <w:p>
      <w:pPr>
        <w:pStyle w:val="Normal"/>
        <w:rPr>
          <w:sz w:val="24"/>
        </w:rPr>
      </w:pPr>
      <w:r>
        <w:rPr>
          <w:b/>
          <w:sz w:val="24"/>
        </w:rPr>
        <w:t>Independent Marketers:</w:t>
      </w:r>
    </w:p>
    <w:p>
      <w:pPr>
        <w:pStyle w:val="Normal"/>
        <w:rPr>
          <w:sz w:val="24"/>
        </w:rPr>
      </w:pPr>
      <w:r>
        <w:rPr>
          <w:sz w:val="24"/>
        </w:rPr>
      </w:r>
    </w:p>
    <w:p>
      <w:pPr>
        <w:pStyle w:val="Normal"/>
        <w:rPr>
          <w:sz w:val="24"/>
        </w:rPr>
      </w:pPr>
      <w:r>
        <w:rPr>
          <w:sz w:val="24"/>
        </w:rPr>
        <w:t>1.</w:t>
        <w:tab/>
        <w:t>How will future changes (boxed text in the current draft of the Protocols) be implemented?  Who makes the decision of how and when to implement?  How will ERCOT provide notice of the implementation date?</w:t>
      </w:r>
    </w:p>
    <w:p>
      <w:pPr>
        <w:pStyle w:val="Normal"/>
        <w:rPr>
          <w:sz w:val="24"/>
        </w:rPr>
      </w:pPr>
      <w:r>
        <w:rPr>
          <w:sz w:val="24"/>
        </w:rPr>
      </w:r>
    </w:p>
    <w:p>
      <w:pPr>
        <w:pStyle w:val="Normal"/>
        <w:rPr>
          <w:sz w:val="24"/>
        </w:rPr>
      </w:pPr>
      <w:r>
        <w:rPr>
          <w:sz w:val="24"/>
        </w:rPr>
        <w:t>2.</w:t>
        <w:tab/>
        <w:t>Should costs of a defaulting QSE be uplifted to load or instead be borne by the responsible entities? (Section 6)</w:t>
      </w:r>
    </w:p>
    <w:p>
      <w:pPr>
        <w:pStyle w:val="Normal"/>
        <w:rPr>
          <w:sz w:val="24"/>
        </w:rPr>
      </w:pPr>
      <w:r>
        <w:rPr>
          <w:sz w:val="24"/>
        </w:rPr>
      </w:r>
    </w:p>
    <w:p>
      <w:pPr>
        <w:pStyle w:val="Normal"/>
        <w:rPr>
          <w:sz w:val="24"/>
        </w:rPr>
      </w:pPr>
      <w:r>
        <w:rPr>
          <w:sz w:val="24"/>
        </w:rPr>
        <w:t xml:space="preserve">3. </w:t>
        <w:tab/>
        <w:t>Regarding the interim manual switching process, what responsibilities and deadlines, if any, are imposed to accomplish a timely customer switch? (Section 11)</w:t>
      </w:r>
    </w:p>
    <w:p>
      <w:pPr>
        <w:pStyle w:val="Normal"/>
        <w:rPr>
          <w:sz w:val="24"/>
        </w:rPr>
      </w:pPr>
      <w:r>
        <w:rPr>
          <w:sz w:val="24"/>
        </w:rPr>
      </w:r>
    </w:p>
    <w:p>
      <w:pPr>
        <w:pStyle w:val="Normal"/>
        <w:rPr>
          <w:sz w:val="24"/>
        </w:rPr>
      </w:pPr>
      <w:r>
        <w:rPr>
          <w:sz w:val="24"/>
        </w:rPr>
        <w:t>4.</w:t>
        <w:tab/>
        <w:t>What, if any, deadline is imposed on ERCOT in the interim (before the system can handle meter read deadlines) to transmit information critical to a REP’s billing and service obligations? (Section 15)</w:t>
      </w:r>
    </w:p>
    <w:p>
      <w:pPr>
        <w:pStyle w:val="Normal"/>
        <w:rPr>
          <w:sz w:val="24"/>
        </w:rPr>
      </w:pPr>
      <w:r>
        <w:rPr>
          <w:sz w:val="24"/>
        </w:rPr>
      </w:r>
    </w:p>
    <w:p>
      <w:pPr>
        <w:pStyle w:val="Normal"/>
        <w:rPr>
          <w:sz w:val="24"/>
        </w:rPr>
      </w:pPr>
      <w:r>
        <w:rPr>
          <w:sz w:val="24"/>
        </w:rPr>
        <w:t>5.</w:t>
        <w:tab/>
        <w:t>Is 72 hours an adequate timeframe for a REP to find a new QSE if the REP’s QSE defaults? (Section 16)</w:t>
      </w:r>
    </w:p>
    <w:p>
      <w:pPr>
        <w:pStyle w:val="Normal"/>
        <w:rPr>
          <w:sz w:val="24"/>
        </w:rPr>
      </w:pPr>
      <w:r>
        <w:rPr>
          <w:sz w:val="24"/>
        </w:rPr>
      </w:r>
    </w:p>
    <w:p>
      <w:pPr>
        <w:pStyle w:val="Normal"/>
        <w:rPr>
          <w:sz w:val="24"/>
        </w:rPr>
      </w:pPr>
      <w:r>
        <w:rPr>
          <w:b/>
          <w:sz w:val="24"/>
        </w:rPr>
        <w:t>Tex-La Electric Cooperative:</w:t>
      </w:r>
    </w:p>
    <w:p>
      <w:pPr>
        <w:pStyle w:val="Normal"/>
        <w:rPr>
          <w:sz w:val="24"/>
        </w:rPr>
      </w:pPr>
      <w:r>
        <w:rPr>
          <w:sz w:val="24"/>
        </w:rPr>
      </w:r>
    </w:p>
    <w:p>
      <w:pPr>
        <w:pStyle w:val="Normal"/>
        <w:rPr/>
      </w:pPr>
      <w:r>
        <w:rPr>
          <w:sz w:val="24"/>
        </w:rPr>
        <w:t>1.</w:t>
        <w:tab/>
        <w:t>Did the Electric Reliability Council of Texas (“ERCOT”) correctly interpret the record in Commission Project No. 20944 (the renewables rule) when developing Section 14 of the ERCOT Protocols? [</w:t>
      </w:r>
      <w:r>
        <w:rPr>
          <w:i/>
          <w:sz w:val="24"/>
        </w:rPr>
        <w:t>ERCOT did not develop Section 14; it was developed in PUCT Project 22200.</w:t>
      </w:r>
      <w:r>
        <w:rPr>
          <w:sz w:val="24"/>
        </w:rPr>
        <w:t>]</w:t>
      </w:r>
    </w:p>
    <w:p>
      <w:pPr>
        <w:pStyle w:val="Normal"/>
        <w:rPr>
          <w:sz w:val="24"/>
        </w:rPr>
      </w:pPr>
      <w:r>
        <w:rPr>
          <w:sz w:val="24"/>
        </w:rPr>
      </w:r>
    </w:p>
    <w:p>
      <w:pPr>
        <w:pStyle w:val="Normal"/>
        <w:rPr>
          <w:sz w:val="24"/>
        </w:rPr>
      </w:pPr>
      <w:r>
        <w:rPr>
          <w:sz w:val="24"/>
        </w:rPr>
        <w:t>2.</w:t>
        <w:tab/>
        <w:t>Does Protocol 14 improperly force cooperatives and municipally-owned utilities (“MOUs”) to make business decisions that SB 7 otherwise leaves within the exclusive jurisdiction of an MOU’s governing board and a cooperative’s board of directors under PURA Chapters 40 and 41, respectively?</w:t>
      </w:r>
    </w:p>
    <w:p>
      <w:pPr>
        <w:pStyle w:val="Normal"/>
        <w:rPr>
          <w:sz w:val="24"/>
        </w:rPr>
      </w:pPr>
      <w:r>
        <w:rPr>
          <w:sz w:val="24"/>
        </w:rPr>
      </w:r>
    </w:p>
    <w:p>
      <w:pPr>
        <w:pStyle w:val="Normal"/>
        <w:rPr/>
      </w:pPr>
      <w:r>
        <w:rPr>
          <w:sz w:val="24"/>
        </w:rPr>
        <w:t>3.</w:t>
        <w:tab/>
        <w:t xml:space="preserve">Does the treatment by ERCOT (in Protocol 14) and the PUC Staff (in Project No. 22200) force MOUs and cooperatives to nominate </w:t>
      </w:r>
      <w:r>
        <w:rPr>
          <w:sz w:val="24"/>
          <w:u w:val="single"/>
        </w:rPr>
        <w:t>and allocate</w:t>
      </w:r>
      <w:r>
        <w:rPr>
          <w:sz w:val="24"/>
        </w:rPr>
        <w:t xml:space="preserve"> renewable energy offsets by June 1, 2001, violates the provisions of the renewables rule which recognize that a G&amp;T cooperative and its affiliated cooperative family members can share their renewable energy offsets within the affiliated cooperative family when, </w:t>
      </w:r>
      <w:r>
        <w:rPr>
          <w:sz w:val="24"/>
          <w:u w:val="single"/>
        </w:rPr>
        <w:t>and as</w:t>
      </w:r>
      <w:r>
        <w:rPr>
          <w:sz w:val="24"/>
        </w:rPr>
        <w:t>, those renewable energy offsets are needed by an affected, affiliated cooperative member to satisfy a renewables requirement assessed by the ERCOT ISO?</w:t>
      </w:r>
    </w:p>
    <w:p>
      <w:pPr>
        <w:pStyle w:val="Normal"/>
        <w:rPr>
          <w:sz w:val="24"/>
        </w:rPr>
      </w:pPr>
      <w:r>
        <w:rPr>
          <w:sz w:val="24"/>
        </w:rPr>
      </w:r>
    </w:p>
    <w:p>
      <w:pPr>
        <w:pStyle w:val="Normal"/>
        <w:rPr/>
      </w:pPr>
      <w:r>
        <w:rPr>
          <w:sz w:val="24"/>
        </w:rPr>
        <w:t>4.</w:t>
        <w:tab/>
        <w:t xml:space="preserve">Did ERCOT and PUC Staff examine the full and potential impact on electric cooperatives during consideration of Project 22200 and Section 14 of the ERCOT Protocols?  Stated differently, if an affected G&amp;T electric cooperative is forced to nominate and allocate a fixed number of renewable energy offsets among its affiliated cooperative members, but one of its affiliated cooperative members experiences rapid growth such that its renewable allocation exceeds the amount of renewable energy offsets allocated to it on June 1, 2001, is it reasonable to require the affected cooperative to buy renewable energy credits (“RECs”) on the open market when its affiliated cooperative family has more than enough renewable energy offsets to satisfy the affected cooperative’s renewable allocation?  Does such an interpretation of the renewables rule violate the rule itself and PURA, particularly Chapter 41?  Does such an interpretation have the perverse effect of providing a </w:t>
      </w:r>
      <w:r>
        <w:rPr>
          <w:b/>
          <w:i/>
          <w:sz w:val="24"/>
        </w:rPr>
        <w:t>disincentive</w:t>
      </w:r>
      <w:r>
        <w:rPr>
          <w:sz w:val="24"/>
        </w:rPr>
        <w:t xml:space="preserve"> for cooperatives to opt in to retail competition by forcing them to purchase RECs on the open market when its affiliated G&amp;T cooperative would otherwise have more than enough renewable energy offsets under its control to satisfy the affiliated cooperative’s renewable allocation?</w:t>
      </w:r>
    </w:p>
    <w:p>
      <w:pPr>
        <w:pStyle w:val="Normal"/>
        <w:rPr>
          <w:sz w:val="24"/>
        </w:rPr>
      </w:pPr>
      <w:r>
        <w:rPr>
          <w:sz w:val="24"/>
        </w:rPr>
      </w:r>
    </w:p>
    <w:p>
      <w:pPr>
        <w:pStyle w:val="Normal"/>
        <w:numPr>
          <w:ilvl w:val="0"/>
          <w:numId w:val="2"/>
        </w:numPr>
        <w:rPr>
          <w:sz w:val="24"/>
        </w:rPr>
      </w:pPr>
      <w:r>
        <w:rPr>
          <w:sz w:val="24"/>
        </w:rPr>
        <w:t>Have ERCOT and PUC Staff considered that the existing requirements of Section</w:t>
      </w:r>
    </w:p>
    <w:p>
      <w:pPr>
        <w:pStyle w:val="Normal"/>
        <w:rPr>
          <w:sz w:val="24"/>
        </w:rPr>
      </w:pPr>
      <w:r>
        <w:rPr>
          <w:sz w:val="24"/>
        </w:rPr>
        <w:t>14 of the ERCOT Protocols would force many electric cooperatives to choose between violating existing requirements contracts, and possibly even regulations of the Rural Utilities Service, or violating ERCOT Protocols?</w:t>
      </w:r>
    </w:p>
    <w:p>
      <w:pPr>
        <w:pStyle w:val="Normal"/>
        <w:rPr>
          <w:sz w:val="24"/>
        </w:rPr>
      </w:pPr>
      <w:r>
        <w:rPr>
          <w:sz w:val="24"/>
        </w:rPr>
      </w:r>
    </w:p>
    <w:p>
      <w:pPr>
        <w:pStyle w:val="Heading1"/>
        <w:ind w:hanging="0" w:start="0"/>
        <w:rPr>
          <w:b w:val="false"/>
        </w:rPr>
      </w:pPr>
      <w:r>
        <w:rPr/>
        <w:t>Brazos Electric and TEC:</w:t>
      </w:r>
    </w:p>
    <w:p>
      <w:pPr>
        <w:pStyle w:val="Normal"/>
        <w:rPr>
          <w:b/>
          <w:sz w:val="24"/>
        </w:rPr>
      </w:pPr>
      <w:r>
        <w:rPr>
          <w:b/>
          <w:sz w:val="24"/>
        </w:rPr>
      </w:r>
    </w:p>
    <w:p>
      <w:pPr>
        <w:pStyle w:val="BodyText"/>
        <w:rPr/>
      </w:pPr>
      <w:r>
        <w:rPr/>
        <w:t>1.</w:t>
        <w:tab/>
        <w:t>Are the provisions of Section 14 relating to REC offsets inconsistent with the provisions of Substantive Rule 25.173?</w:t>
      </w:r>
    </w:p>
    <w:p>
      <w:pPr>
        <w:pStyle w:val="Normal"/>
        <w:rPr>
          <w:sz w:val="24"/>
        </w:rPr>
      </w:pPr>
      <w:r>
        <w:rPr>
          <w:sz w:val="24"/>
        </w:rPr>
      </w:r>
    </w:p>
    <w:p>
      <w:pPr>
        <w:pStyle w:val="Normal"/>
        <w:rPr>
          <w:sz w:val="24"/>
        </w:rPr>
      </w:pPr>
      <w:r>
        <w:rPr>
          <w:b/>
          <w:sz w:val="24"/>
        </w:rPr>
        <w:t>Nucor Steel:</w:t>
      </w:r>
    </w:p>
    <w:p>
      <w:pPr>
        <w:pStyle w:val="Normal"/>
        <w:rPr>
          <w:sz w:val="24"/>
        </w:rPr>
      </w:pPr>
      <w:r>
        <w:rPr>
          <w:sz w:val="24"/>
        </w:rPr>
      </w:r>
    </w:p>
    <w:p>
      <w:pPr>
        <w:pStyle w:val="Normal"/>
        <w:rPr>
          <w:sz w:val="24"/>
        </w:rPr>
      </w:pPr>
      <w:r>
        <w:rPr>
          <w:sz w:val="24"/>
        </w:rPr>
        <w:t>1.</w:t>
        <w:tab/>
        <w:t>Is the BUL appropriately designed and what other special provisions should be adopted for load acting as a resource?</w:t>
      </w:r>
    </w:p>
    <w:p>
      <w:pPr>
        <w:pStyle w:val="Normal"/>
        <w:rPr>
          <w:sz w:val="24"/>
        </w:rPr>
      </w:pPr>
      <w:r>
        <w:rPr>
          <w:sz w:val="24"/>
        </w:rPr>
      </w:r>
    </w:p>
    <w:p>
      <w:pPr>
        <w:pStyle w:val="Normal"/>
        <w:rPr>
          <w:sz w:val="24"/>
        </w:rPr>
      </w:pPr>
      <w:r>
        <w:rPr>
          <w:sz w:val="24"/>
        </w:rPr>
        <w:t>2.</w:t>
        <w:tab/>
        <w:t>Is the provision exempting loads (at the request of the QSE) from the performance determination for two hours following a recall of a previously deployed loads acting as a resource reasonable and sufficient?</w:t>
      </w:r>
    </w:p>
    <w:p>
      <w:pPr>
        <w:pStyle w:val="Normal"/>
        <w:rPr>
          <w:sz w:val="24"/>
        </w:rPr>
      </w:pPr>
      <w:r>
        <w:rPr>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sz w:val="24"/>
        </w:rPr>
      </w:pPr>
      <w:r>
        <w:rPr>
          <w:b/>
          <w:sz w:val="24"/>
        </w:rPr>
        <w:t>Texas Renewable Power Coalition:</w:t>
      </w:r>
    </w:p>
    <w:p>
      <w:pPr>
        <w:pStyle w:val="Normal"/>
        <w:rPr>
          <w:sz w:val="24"/>
        </w:rPr>
      </w:pPr>
      <w:r>
        <w:rPr>
          <w:sz w:val="24"/>
        </w:rPr>
      </w:r>
    </w:p>
    <w:p>
      <w:pPr>
        <w:pStyle w:val="Normal"/>
        <w:rPr/>
      </w:pPr>
      <w:r>
        <w:rPr>
          <w:sz w:val="24"/>
        </w:rPr>
        <w:t>1.</w:t>
        <w:tab/>
        <w:t xml:space="preserve">Should the definition of “total generation capacity” be revised to clarify that it is each facilities </w:t>
      </w:r>
      <w:r>
        <w:rPr>
          <w:i/>
          <w:sz w:val="24"/>
        </w:rPr>
        <w:t>average</w:t>
      </w:r>
      <w:r>
        <w:rPr>
          <w:sz w:val="24"/>
        </w:rPr>
        <w:t xml:space="preserve"> total generation capacity? (Section 14.10.2)</w:t>
      </w:r>
    </w:p>
    <w:p>
      <w:pPr>
        <w:pStyle w:val="Normal"/>
        <w:rPr>
          <w:sz w:val="24"/>
        </w:rPr>
      </w:pPr>
      <w:r>
        <w:rPr>
          <w:sz w:val="24"/>
        </w:rPr>
      </w:r>
    </w:p>
    <w:p>
      <w:pPr>
        <w:pStyle w:val="Normal"/>
        <w:rPr/>
      </w:pPr>
      <w:r>
        <w:rPr>
          <w:sz w:val="24"/>
        </w:rPr>
        <w:t>[</w:t>
      </w:r>
      <w:r>
        <w:rPr>
          <w:i/>
          <w:sz w:val="24"/>
        </w:rPr>
        <w:t>Issue regarding the uninstructed deviation pricing for uncontrollable renewable has been resolved by the supplemental filing.</w:t>
      </w:r>
      <w:r>
        <w:rPr>
          <w:sz w:val="24"/>
        </w:rPr>
        <w:t>]</w:t>
      </w:r>
    </w:p>
    <w:p>
      <w:pPr>
        <w:pStyle w:val="Normal"/>
        <w:rPr>
          <w:sz w:val="24"/>
        </w:rPr>
      </w:pPr>
      <w:r>
        <w:rPr>
          <w:sz w:val="24"/>
        </w:rPr>
      </w:r>
    </w:p>
    <w:p>
      <w:pPr>
        <w:pStyle w:val="Normal"/>
        <w:rPr>
          <w:sz w:val="24"/>
        </w:rPr>
      </w:pPr>
      <w:r>
        <w:rPr>
          <w:b/>
          <w:sz w:val="24"/>
        </w:rPr>
        <w:t>FPL Energy:</w:t>
      </w:r>
    </w:p>
    <w:p>
      <w:pPr>
        <w:pStyle w:val="Normal"/>
        <w:rPr>
          <w:sz w:val="24"/>
        </w:rPr>
      </w:pPr>
      <w:r>
        <w:rPr>
          <w:sz w:val="24"/>
        </w:rPr>
      </w:r>
    </w:p>
    <w:p>
      <w:pPr>
        <w:pStyle w:val="Normal"/>
        <w:rPr>
          <w:sz w:val="24"/>
        </w:rPr>
      </w:pPr>
      <w:r>
        <w:rPr>
          <w:sz w:val="24"/>
        </w:rPr>
        <w:t>1.</w:t>
        <w:tab/>
        <w:t>Should Section 20 of the Protocols be revised to provide for (1) mediation as a matter of right for parties engaged in a dispute, (2) arbitration as the default mechanism for parties who have reached an impasse in informal negotiations, and (3) additional procedural protections for disputing parties, including provisions which clarify intervention rights and appellate procedures.</w:t>
      </w:r>
    </w:p>
    <w:p>
      <w:pPr>
        <w:pStyle w:val="Normal"/>
        <w:rPr>
          <w:sz w:val="24"/>
        </w:rPr>
      </w:pPr>
      <w:r>
        <w:rPr>
          <w:sz w:val="24"/>
        </w:rPr>
      </w:r>
    </w:p>
    <w:p>
      <w:pPr>
        <w:pStyle w:val="Normal"/>
        <w:rPr>
          <w:sz w:val="24"/>
        </w:rPr>
      </w:pPr>
      <w:r>
        <w:rPr>
          <w:b/>
          <w:sz w:val="24"/>
        </w:rPr>
        <w:t>TXU:</w:t>
      </w:r>
    </w:p>
    <w:p>
      <w:pPr>
        <w:pStyle w:val="Normal"/>
        <w:rPr>
          <w:sz w:val="24"/>
        </w:rPr>
      </w:pPr>
      <w:r>
        <w:rPr>
          <w:sz w:val="24"/>
        </w:rPr>
      </w:r>
    </w:p>
    <w:p>
      <w:pPr>
        <w:pStyle w:val="Normal"/>
        <w:rPr/>
      </w:pPr>
      <w:r>
        <w:rPr>
          <w:sz w:val="24"/>
        </w:rPr>
        <w:t>[</w:t>
      </w:r>
      <w:r>
        <w:rPr>
          <w:i/>
          <w:sz w:val="24"/>
        </w:rPr>
        <w:t>Offered support of stakeholder process in the creation of the Protocols</w:t>
      </w:r>
      <w:r>
        <w:rPr>
          <w:sz w:val="24"/>
        </w:rPr>
        <w:t>.]</w:t>
      </w:r>
    </w:p>
    <w:p>
      <w:pPr>
        <w:pStyle w:val="Normal"/>
        <w:rPr>
          <w:sz w:val="24"/>
        </w:rPr>
      </w:pPr>
      <w:r>
        <w:rPr>
          <w:sz w:val="24"/>
        </w:rPr>
      </w:r>
    </w:p>
    <w:p>
      <w:pPr>
        <w:pStyle w:val="Normal"/>
        <w:rPr>
          <w:sz w:val="24"/>
        </w:rPr>
      </w:pPr>
      <w:r>
        <w:rPr>
          <w:b/>
          <w:sz w:val="24"/>
        </w:rPr>
        <w:t>Reliant:</w:t>
      </w:r>
    </w:p>
    <w:p>
      <w:pPr>
        <w:pStyle w:val="Normal"/>
        <w:rPr>
          <w:sz w:val="24"/>
        </w:rPr>
      </w:pPr>
      <w:r>
        <w:rPr>
          <w:sz w:val="24"/>
        </w:rPr>
      </w:r>
    </w:p>
    <w:p>
      <w:pPr>
        <w:pStyle w:val="Normal"/>
        <w:rPr/>
      </w:pPr>
      <w:r>
        <w:rPr>
          <w:sz w:val="24"/>
        </w:rPr>
        <w:t>[</w:t>
      </w:r>
      <w:r>
        <w:rPr>
          <w:i/>
          <w:sz w:val="24"/>
        </w:rPr>
        <w:t>Offered support of BUL.</w:t>
      </w:r>
      <w:r>
        <w:rPr>
          <w:sz w:val="24"/>
        </w:rPr>
        <w:t>]</w:t>
      </w:r>
    </w:p>
    <w:p>
      <w:pPr>
        <w:pStyle w:val="Normal"/>
        <w:rPr>
          <w:sz w:val="24"/>
        </w:rPr>
      </w:pPr>
      <w:r>
        <w:rPr>
          <w:sz w:val="24"/>
        </w:rPr>
      </w:r>
    </w:p>
    <w:p>
      <w:pPr>
        <w:pStyle w:val="Normal"/>
        <w:rPr>
          <w:sz w:val="24"/>
        </w:rPr>
      </w:pPr>
      <w:r>
        <w:rPr>
          <w:sz w:val="24"/>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720"/>
        </w:tabs>
        <w:ind w:start="720" w:hanging="720"/>
      </w:pPr>
      <w:rPr/>
    </w:lvl>
  </w:abstractNum>
  <w:abstractNum w:abstractNumId="3">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2001-01-15T17:31:00Z</dcterms:created>
  <dc:creator>User</dc:creator>
  <dc:description/>
  <dc:language>en-CA</dc:language>
  <cp:lastModifiedBy>User</cp:lastModifiedBy>
  <dcterms:modified xsi:type="dcterms:W3CDTF">2001-01-16T17:28:00Z</dcterms:modified>
  <cp:revision>2</cp:revision>
  <dc:subject/>
  <dc:title>Summary of Issues Related to the Protocols Supplemental Filing</dc:title>
</cp:coreProperties>
</file>