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Summary of GridFlorida Order issued 3/28/01 by FERC (Docket No. RT01-67)</w:t>
      </w:r>
    </w:p>
    <w:p>
      <w:pPr>
        <w:pStyle w:val="Normal"/>
        <w:jc w:val="center"/>
        <w:rPr>
          <w:b/>
          <w:bCs/>
        </w:rPr>
      </w:pPr>
      <w:r>
        <w:rPr>
          <w:b/>
          <w:bCs/>
        </w:rPr>
      </w:r>
    </w:p>
    <w:p>
      <w:pPr>
        <w:pStyle w:val="BodyText"/>
        <w:rPr/>
      </w:pPr>
      <w:r>
        <w:rPr/>
        <w:tab/>
        <w:t>The Commission provisionally granted RTO status to GridFlorida, a for-profit RTO (filed 10/16/00, as supplemented 12/15/00).  During the Commission meeting, all three Commissioners were fairly complementary of what they consider as GridFlorida’s good first step efforts toward becoming an RTO.  Chair Herbert summarized the Commission’s approval of GridFlorida and denial of SPP/Entergy RTO as a “willingness to lend a helping hand when there is good effort”, but refusal to compromise the RTO standards when there has been a lack of meaningful efforts.  (EPMI issues for possible rehearing are *****).</w:t>
      </w:r>
    </w:p>
    <w:p>
      <w:pPr>
        <w:pStyle w:val="BodyText"/>
        <w:rPr/>
      </w:pPr>
      <w:r>
        <w:rPr/>
        <w:t xml:space="preserve"> </w:t>
      </w:r>
    </w:p>
    <w:p>
      <w:pPr>
        <w:pStyle w:val="Normal"/>
        <w:jc w:val="both"/>
        <w:rPr/>
      </w:pPr>
      <w:r>
        <w:rPr/>
        <w:tab/>
        <w:t>Specific issues of interest to Enron were addressed as follows:</w:t>
      </w:r>
    </w:p>
    <w:p>
      <w:pPr>
        <w:pStyle w:val="Normal"/>
        <w:jc w:val="both"/>
        <w:rPr/>
      </w:pPr>
      <w:r>
        <w:rPr/>
      </w:r>
    </w:p>
    <w:p>
      <w:pPr>
        <w:pStyle w:val="Normal"/>
        <w:numPr>
          <w:ilvl w:val="0"/>
          <w:numId w:val="3"/>
        </w:numPr>
        <w:jc w:val="both"/>
        <w:rPr/>
      </w:pPr>
      <w:r>
        <w:rPr>
          <w:u w:val="single"/>
        </w:rPr>
        <w:t>Congestion Management and Market Issues/ICE Proposal</w:t>
      </w:r>
    </w:p>
    <w:p>
      <w:pPr>
        <w:pStyle w:val="Normal"/>
        <w:jc w:val="both"/>
        <w:rPr/>
      </w:pPr>
      <w:r>
        <w:rPr/>
      </w:r>
    </w:p>
    <w:p>
      <w:pPr>
        <w:pStyle w:val="Normal"/>
        <w:numPr>
          <w:ilvl w:val="1"/>
          <w:numId w:val="3"/>
        </w:numPr>
        <w:jc w:val="both"/>
        <w:rPr>
          <w:u w:val="single"/>
        </w:rPr>
      </w:pPr>
      <w:r>
        <w:rPr>
          <w:u w:val="single"/>
        </w:rPr>
        <w:t xml:space="preserve">Flowgates </w:t>
      </w:r>
      <w:r>
        <w:rPr/>
        <w:t>– Generally finds PTR proposal to be reasonable; however, does not approve the flowgate model, as proposed – requires GridFlorida to either: (i) file the results of the Flowgate Working Group or (ii) file an interim protocol for congestion management.</w:t>
      </w:r>
    </w:p>
    <w:p>
      <w:pPr>
        <w:pStyle w:val="Normal"/>
        <w:numPr>
          <w:ilvl w:val="1"/>
          <w:numId w:val="3"/>
        </w:numPr>
        <w:jc w:val="both"/>
        <w:rPr>
          <w:u w:val="single"/>
        </w:rPr>
      </w:pPr>
      <w:r>
        <w:rPr/>
        <w:t>Approves PTR allocation to current users, with auction of additional rights to new entrants.*****</w:t>
      </w:r>
    </w:p>
    <w:p>
      <w:pPr>
        <w:pStyle w:val="Normal"/>
        <w:numPr>
          <w:ilvl w:val="1"/>
          <w:numId w:val="3"/>
        </w:numPr>
        <w:jc w:val="both"/>
        <w:rPr>
          <w:u w:val="single"/>
        </w:rPr>
      </w:pPr>
      <w:r>
        <w:rPr/>
        <w:t>Agrees with EPMI (and others) that Applicants have not adequately explained the two-hour recall provision for PTRs.  Applicants can propose another method for discouraging hoarding of PTRs.</w:t>
      </w:r>
    </w:p>
    <w:p>
      <w:pPr>
        <w:pStyle w:val="Normal"/>
        <w:numPr>
          <w:ilvl w:val="1"/>
          <w:numId w:val="3"/>
        </w:numPr>
        <w:jc w:val="both"/>
        <w:rPr>
          <w:u w:val="single"/>
        </w:rPr>
      </w:pPr>
      <w:r>
        <w:rPr/>
        <w:t>Not ruling on market design -- Requires GridFlorida to fully support its market design proposal, including market shares of sellers, requirements of market, location of congestion, etc.</w:t>
      </w:r>
    </w:p>
    <w:p>
      <w:pPr>
        <w:pStyle w:val="Normal"/>
        <w:numPr>
          <w:ilvl w:val="1"/>
          <w:numId w:val="3"/>
        </w:numPr>
        <w:jc w:val="both"/>
        <w:rPr>
          <w:b/>
          <w:bCs/>
          <w:u w:val="single"/>
        </w:rPr>
      </w:pPr>
      <w:r>
        <w:rPr/>
        <w:t xml:space="preserve">Agrees with Applicants that </w:t>
      </w:r>
      <w:r>
        <w:rPr>
          <w:b/>
          <w:bCs/>
        </w:rPr>
        <w:t>Enron’s proposal for unbalanced schedules has theoretical merit,</w:t>
      </w:r>
      <w:r>
        <w:rPr/>
        <w:t xml:space="preserve"> but practical concerns indicate that this proposal should not be implemented initially when GridFlorida become operation.  However, </w:t>
      </w:r>
      <w:r>
        <w:rPr>
          <w:b/>
          <w:bCs/>
        </w:rPr>
        <w:t>encourages consideration of the merits of our proposal and how it could be practically implemented, before the 18 month report where it would otherwise be addressed.</w:t>
      </w:r>
    </w:p>
    <w:p>
      <w:pPr>
        <w:pStyle w:val="Normal"/>
        <w:numPr>
          <w:ilvl w:val="1"/>
          <w:numId w:val="3"/>
        </w:numPr>
        <w:jc w:val="both"/>
        <w:rPr/>
      </w:pPr>
      <w:r>
        <w:rPr/>
        <w:t>Approves ICE requirements in concept; however determines that many important provisions are not addressed and encourages further stakeholder discussions to clarify.******</w:t>
      </w:r>
    </w:p>
    <w:p>
      <w:pPr>
        <w:pStyle w:val="Normal"/>
        <w:jc w:val="both"/>
        <w:rPr/>
      </w:pPr>
      <w:r>
        <w:rPr/>
      </w:r>
    </w:p>
    <w:p>
      <w:pPr>
        <w:pStyle w:val="Normal"/>
        <w:numPr>
          <w:ilvl w:val="0"/>
          <w:numId w:val="6"/>
        </w:numPr>
        <w:jc w:val="both"/>
        <w:rPr/>
      </w:pPr>
      <w:r>
        <w:rPr>
          <w:u w:val="single"/>
        </w:rPr>
        <w:t>RTO Characteristic No. 1:  Independence</w:t>
      </w:r>
    </w:p>
    <w:p>
      <w:pPr>
        <w:pStyle w:val="Normal"/>
        <w:jc w:val="both"/>
        <w:rPr/>
      </w:pPr>
      <w:r>
        <w:rPr/>
      </w:r>
    </w:p>
    <w:p>
      <w:pPr>
        <w:pStyle w:val="Normal"/>
        <w:numPr>
          <w:ilvl w:val="1"/>
          <w:numId w:val="4"/>
        </w:numPr>
        <w:jc w:val="both"/>
        <w:rPr/>
      </w:pPr>
      <w:r>
        <w:rPr/>
        <w:t xml:space="preserve">The Board selection process, proposed director and officer qualifications and proposed restrictions and code of conduct for officers, employees and directors of GridFlorida were approved in the previous Commission order dated 1/10/01.  In this filing, the Applicants proposed to begin management of an interim LLC run by the Applicants (before the Board will be selected and CEO appointed – estimated to occur in Fall 01).  While the Commission acknowledged the need to expedite formation, it </w:t>
      </w:r>
      <w:r>
        <w:rPr>
          <w:b/>
          <w:bCs/>
        </w:rPr>
        <w:t>granted EPMI’s (and others) protests</w:t>
      </w:r>
      <w:r>
        <w:rPr/>
        <w:t xml:space="preserve"> of legitimate concerns about the independence of the interim LLC.  Specifically, the Commission approves the formation of the interim LLC, with these restrictions:</w:t>
      </w:r>
    </w:p>
    <w:p>
      <w:pPr>
        <w:pStyle w:val="Normal"/>
        <w:ind w:start="1800" w:end="0"/>
        <w:jc w:val="both"/>
        <w:rPr/>
      </w:pPr>
      <w:r>
        <w:rPr/>
      </w:r>
    </w:p>
    <w:p>
      <w:pPr>
        <w:pStyle w:val="Normal"/>
        <w:numPr>
          <w:ilvl w:val="0"/>
          <w:numId w:val="8"/>
        </w:numPr>
        <w:jc w:val="both"/>
        <w:rPr/>
      </w:pPr>
      <w:r>
        <w:rPr/>
        <w:t>Can proceed with leasing office space, establishing employee benefit plans, putting accounting systems into place and other basic infrastructure.</w:t>
      </w:r>
    </w:p>
    <w:p>
      <w:pPr>
        <w:pStyle w:val="Normal"/>
        <w:numPr>
          <w:ilvl w:val="0"/>
          <w:numId w:val="8"/>
        </w:numPr>
        <w:jc w:val="both"/>
        <w:rPr/>
      </w:pPr>
      <w:r>
        <w:rPr/>
        <w:t>Acquisition of transmission facilities will be carefully scrutinized and approved by the Commission.</w:t>
      </w:r>
    </w:p>
    <w:p>
      <w:pPr>
        <w:pStyle w:val="Normal"/>
        <w:numPr>
          <w:ilvl w:val="0"/>
          <w:numId w:val="8"/>
        </w:numPr>
        <w:jc w:val="both"/>
        <w:rPr/>
      </w:pPr>
      <w:r>
        <w:rPr/>
        <w:t xml:space="preserve">The Commission regards the acquisition of software and other systems implementing market design as significant to the future operation of the RTO and requires that “any acquisition of software or other systems implementing market design not be undertaken until the independent Board has been seated and given its approval.”  </w:t>
      </w:r>
    </w:p>
    <w:p>
      <w:pPr>
        <w:pStyle w:val="Normal"/>
        <w:numPr>
          <w:ilvl w:val="0"/>
          <w:numId w:val="8"/>
        </w:numPr>
        <w:jc w:val="both"/>
        <w:rPr/>
      </w:pPr>
      <w:r>
        <w:rPr/>
        <w:t>There should be NO expenditure on any software and other systems implementing market design before the stakeholders’ Advisory Committee (SAC) is formed (then, GridFlorida is required to provide advance notice to the SAC and then SAC can file a complaint with the Commission.)</w:t>
      </w:r>
    </w:p>
    <w:p>
      <w:pPr>
        <w:pStyle w:val="Normal"/>
        <w:ind w:start="720" w:end="0"/>
        <w:jc w:val="both"/>
        <w:rPr/>
      </w:pPr>
      <w:r>
        <w:rPr/>
      </w:r>
    </w:p>
    <w:p>
      <w:pPr>
        <w:pStyle w:val="Normal"/>
        <w:numPr>
          <w:ilvl w:val="1"/>
          <w:numId w:val="2"/>
        </w:numPr>
        <w:jc w:val="both"/>
        <w:rPr/>
      </w:pPr>
      <w:r>
        <w:rPr/>
        <w:t>Requires Applicants and public power to continue to negotiate methods of participation and report progress to the Commission within 60 days.</w:t>
      </w:r>
    </w:p>
    <w:p>
      <w:pPr>
        <w:pStyle w:val="Normal"/>
        <w:jc w:val="both"/>
        <w:rPr/>
      </w:pPr>
      <w:r>
        <w:rPr/>
      </w:r>
    </w:p>
    <w:p>
      <w:pPr>
        <w:pStyle w:val="Normal"/>
        <w:numPr>
          <w:ilvl w:val="1"/>
          <w:numId w:val="2"/>
        </w:numPr>
        <w:jc w:val="both"/>
        <w:rPr/>
      </w:pPr>
      <w:r>
        <w:rPr/>
        <w:t>Approved proposal for the SAC:  (i) SAC is not unduly balanced toward transmission owners; (ii) no obligation for Board to follow advice of SAC (thus, transforming the Board into a “stakeholder” vs. independent Board); and (iii) fee structure is reasonable ($10,000 initial fee/annual fee of $5000).</w:t>
      </w:r>
    </w:p>
    <w:p>
      <w:pPr>
        <w:pStyle w:val="Normal"/>
        <w:jc w:val="both"/>
        <w:rPr/>
      </w:pPr>
      <w:r>
        <w:rPr/>
      </w:r>
    </w:p>
    <w:p>
      <w:pPr>
        <w:pStyle w:val="Normal"/>
        <w:numPr>
          <w:ilvl w:val="1"/>
          <w:numId w:val="2"/>
        </w:numPr>
        <w:jc w:val="both"/>
        <w:rPr/>
      </w:pPr>
      <w:r>
        <w:rPr/>
        <w:t>Denies protests that a “for-profit” entity will compromise independence noting that RTO is required to consider non-transmission (generation) solutions to congestion in addition to transmission additions.</w:t>
      </w:r>
    </w:p>
    <w:p>
      <w:pPr>
        <w:pStyle w:val="Normal"/>
        <w:jc w:val="both"/>
        <w:rPr/>
      </w:pPr>
      <w:r>
        <w:rPr/>
      </w:r>
    </w:p>
    <w:p>
      <w:pPr>
        <w:pStyle w:val="Normal"/>
        <w:numPr>
          <w:ilvl w:val="1"/>
          <w:numId w:val="2"/>
        </w:numPr>
        <w:jc w:val="both"/>
        <w:rPr/>
      </w:pPr>
      <w:r>
        <w:rPr/>
        <w:t xml:space="preserve">Allow FRCC assistance with operational standards and expects that FRCC’s decisions will reflect reliability concerns instead of the commercial interests of individual market participants. </w:t>
      </w:r>
    </w:p>
    <w:p>
      <w:pPr>
        <w:pStyle w:val="Normal"/>
        <w:jc w:val="both"/>
        <w:rPr/>
      </w:pPr>
      <w:r>
        <w:rPr/>
      </w:r>
    </w:p>
    <w:p>
      <w:pPr>
        <w:pStyle w:val="Normal"/>
        <w:numPr>
          <w:ilvl w:val="1"/>
          <w:numId w:val="2"/>
        </w:numPr>
        <w:jc w:val="both"/>
        <w:rPr/>
      </w:pPr>
      <w:r>
        <w:rPr/>
        <w:t>Passive owners are allowed limited reservation of rights over certain fundamental business decisions, such as change in control, mergers and diversification.</w:t>
      </w:r>
      <w:r>
        <w:br w:type="page"/>
      </w:r>
    </w:p>
    <w:p>
      <w:pPr>
        <w:pStyle w:val="Normal"/>
        <w:jc w:val="both"/>
        <w:rPr/>
      </w:pPr>
      <w:r>
        <w:rPr/>
      </w:r>
    </w:p>
    <w:p>
      <w:pPr>
        <w:pStyle w:val="Normal"/>
        <w:numPr>
          <w:ilvl w:val="1"/>
          <w:numId w:val="7"/>
        </w:numPr>
        <w:tabs>
          <w:tab w:val="left" w:pos="720" w:leader="none"/>
        </w:tabs>
        <w:ind w:hanging="1260" w:start="1440" w:end="0"/>
        <w:jc w:val="both"/>
        <w:rPr/>
      </w:pPr>
      <w:r>
        <w:rPr>
          <w:u w:val="single"/>
        </w:rPr>
        <w:t>RTO Characteristic No. 2: Scope</w:t>
      </w:r>
    </w:p>
    <w:p>
      <w:pPr>
        <w:pStyle w:val="Normal"/>
        <w:jc w:val="both"/>
        <w:rPr/>
      </w:pPr>
      <w:r>
        <w:rPr/>
      </w:r>
    </w:p>
    <w:p>
      <w:pPr>
        <w:pStyle w:val="Normal"/>
        <w:numPr>
          <w:ilvl w:val="1"/>
          <w:numId w:val="2"/>
        </w:numPr>
        <w:jc w:val="both"/>
        <w:rPr/>
      </w:pPr>
      <w:r>
        <w:rPr/>
        <w:t>Satisfies scope and configuration due to one contiguous geographic area, highly integrated grid and all transmission entities within the FRCC with relatively weak ties to other markets.</w:t>
      </w:r>
    </w:p>
    <w:p>
      <w:pPr>
        <w:pStyle w:val="Normal"/>
        <w:ind w:start="1080" w:end="0"/>
        <w:jc w:val="both"/>
        <w:rPr/>
      </w:pPr>
      <w:r>
        <w:rPr/>
      </w:r>
    </w:p>
    <w:p>
      <w:pPr>
        <w:pStyle w:val="Normal"/>
        <w:numPr>
          <w:ilvl w:val="1"/>
          <w:numId w:val="2"/>
        </w:numPr>
        <w:jc w:val="both"/>
        <w:rPr/>
      </w:pPr>
      <w:r>
        <w:rPr/>
        <w:t>GridFlorida must file a status report by 5/14/01 that addresses its efforts to expand the scope.</w:t>
      </w:r>
    </w:p>
    <w:p>
      <w:pPr>
        <w:pStyle w:val="Normal"/>
        <w:jc w:val="both"/>
        <w:rPr/>
      </w:pPr>
      <w:r>
        <w:rPr/>
      </w:r>
    </w:p>
    <w:p>
      <w:pPr>
        <w:pStyle w:val="Normal"/>
        <w:numPr>
          <w:ilvl w:val="1"/>
          <w:numId w:val="2"/>
        </w:numPr>
        <w:jc w:val="both"/>
        <w:rPr/>
      </w:pPr>
      <w:r>
        <w:rPr/>
        <w:t>Rejects the 200% charge for use of facilities by non-participants as arbitrary.</w:t>
      </w:r>
    </w:p>
    <w:p>
      <w:pPr>
        <w:pStyle w:val="Normal"/>
        <w:jc w:val="both"/>
        <w:rPr/>
      </w:pPr>
      <w:r>
        <w:rPr/>
      </w:r>
    </w:p>
    <w:p>
      <w:pPr>
        <w:pStyle w:val="Normal"/>
        <w:numPr>
          <w:ilvl w:val="1"/>
          <w:numId w:val="2"/>
        </w:numPr>
        <w:jc w:val="both"/>
        <w:rPr/>
      </w:pPr>
      <w:r>
        <w:rPr/>
        <w:t>Does not require grandfathered contracts to be immediately converted to the OATT.*******</w:t>
      </w:r>
    </w:p>
    <w:p>
      <w:pPr>
        <w:pStyle w:val="Normal"/>
        <w:jc w:val="both"/>
        <w:rPr/>
      </w:pPr>
      <w:r>
        <w:rPr/>
      </w:r>
    </w:p>
    <w:p>
      <w:pPr>
        <w:pStyle w:val="Normal"/>
        <w:numPr>
          <w:ilvl w:val="2"/>
          <w:numId w:val="2"/>
        </w:numPr>
        <w:tabs>
          <w:tab w:val="left" w:pos="720" w:leader="none"/>
        </w:tabs>
        <w:ind w:hanging="1980" w:start="2160" w:end="0"/>
        <w:jc w:val="both"/>
        <w:rPr/>
      </w:pPr>
      <w:r>
        <w:rPr>
          <w:u w:val="single"/>
        </w:rPr>
        <w:t>Interconnection Procedures and Agreement</w:t>
      </w:r>
    </w:p>
    <w:p>
      <w:pPr>
        <w:pStyle w:val="Normal"/>
        <w:jc w:val="both"/>
        <w:rPr/>
      </w:pPr>
      <w:r>
        <w:rPr/>
      </w:r>
    </w:p>
    <w:p>
      <w:pPr>
        <w:pStyle w:val="Normal"/>
        <w:numPr>
          <w:ilvl w:val="1"/>
          <w:numId w:val="9"/>
        </w:numPr>
        <w:jc w:val="both"/>
        <w:rPr/>
      </w:pPr>
      <w:r>
        <w:rPr/>
        <w:t>Does not require abrogation of an existing IA; conversion of existing IAs to RTO IA can best be resolved on a case by case basis.</w:t>
      </w:r>
    </w:p>
    <w:p>
      <w:pPr>
        <w:pStyle w:val="Normal"/>
        <w:ind w:start="1080" w:end="0"/>
        <w:jc w:val="both"/>
        <w:rPr/>
      </w:pPr>
      <w:r>
        <w:rPr/>
      </w:r>
    </w:p>
    <w:p>
      <w:pPr>
        <w:pStyle w:val="Normal"/>
        <w:numPr>
          <w:ilvl w:val="1"/>
          <w:numId w:val="1"/>
        </w:numPr>
        <w:jc w:val="both"/>
        <w:rPr/>
      </w:pPr>
      <w:r>
        <w:rPr/>
        <w:t>Requires RTO to state whether it considers a proposed change to be “material” (with possible loss of queue position).</w:t>
      </w:r>
    </w:p>
    <w:p>
      <w:pPr>
        <w:pStyle w:val="Normal"/>
        <w:jc w:val="both"/>
        <w:rPr/>
      </w:pPr>
      <w:r>
        <w:rPr/>
      </w:r>
    </w:p>
    <w:p>
      <w:pPr>
        <w:pStyle w:val="Normal"/>
        <w:numPr>
          <w:ilvl w:val="1"/>
          <w:numId w:val="1"/>
        </w:numPr>
        <w:jc w:val="both"/>
        <w:rPr/>
      </w:pPr>
      <w:r>
        <w:rPr/>
        <w:t>Timelines must be shortened.</w:t>
      </w:r>
    </w:p>
    <w:p>
      <w:pPr>
        <w:pStyle w:val="Normal"/>
        <w:jc w:val="both"/>
        <w:rPr/>
      </w:pPr>
      <w:r>
        <w:rPr/>
      </w:r>
    </w:p>
    <w:p>
      <w:pPr>
        <w:pStyle w:val="Normal"/>
        <w:numPr>
          <w:ilvl w:val="1"/>
          <w:numId w:val="1"/>
        </w:numPr>
        <w:jc w:val="both"/>
        <w:rPr/>
      </w:pPr>
      <w:r>
        <w:rPr/>
        <w:t xml:space="preserve">Network transmission credits must be made on the basis of capacity, rather than output. </w:t>
      </w:r>
    </w:p>
    <w:p>
      <w:pPr>
        <w:pStyle w:val="Normal"/>
        <w:jc w:val="both"/>
        <w:rPr/>
      </w:pPr>
      <w:r>
        <w:rPr/>
      </w:r>
    </w:p>
    <w:p>
      <w:pPr>
        <w:pStyle w:val="Normal"/>
        <w:numPr>
          <w:ilvl w:val="1"/>
          <w:numId w:val="1"/>
        </w:numPr>
        <w:jc w:val="both"/>
        <w:rPr/>
      </w:pPr>
      <w:r>
        <w:rPr/>
        <w:t>Generators must provide reactive power as part of the IA; compensation is based on lost opportunity costs to the extent that generator must act outside of reactive requirements of the IA.</w:t>
      </w:r>
    </w:p>
    <w:p>
      <w:pPr>
        <w:pStyle w:val="Normal"/>
        <w:jc w:val="both"/>
        <w:rPr/>
      </w:pPr>
      <w:r>
        <w:rPr/>
      </w:r>
    </w:p>
    <w:p>
      <w:pPr>
        <w:pStyle w:val="Normal"/>
        <w:numPr>
          <w:ilvl w:val="1"/>
          <w:numId w:val="1"/>
        </w:numPr>
        <w:jc w:val="both"/>
        <w:rPr/>
      </w:pPr>
      <w:r>
        <w:rPr/>
        <w:t>Does not address Enron’s concerns about queue dates for pre-RTO projects.******</w:t>
      </w:r>
    </w:p>
    <w:p>
      <w:pPr>
        <w:pStyle w:val="Normal"/>
        <w:jc w:val="both"/>
        <w:rPr/>
      </w:pPr>
      <w:r>
        <w:rPr/>
      </w:r>
    </w:p>
    <w:p>
      <w:pPr>
        <w:pStyle w:val="Normal"/>
        <w:numPr>
          <w:ilvl w:val="0"/>
          <w:numId w:val="3"/>
        </w:numPr>
        <w:jc w:val="both"/>
        <w:rPr/>
      </w:pPr>
      <w:r>
        <w:rPr>
          <w:u w:val="single"/>
        </w:rPr>
        <w:t>Transmission Issues</w:t>
      </w:r>
    </w:p>
    <w:p>
      <w:pPr>
        <w:pStyle w:val="Normal"/>
        <w:jc w:val="both"/>
        <w:rPr>
          <w:u w:val="single"/>
        </w:rPr>
      </w:pPr>
      <w:r>
        <w:rPr>
          <w:u w:val="single"/>
        </w:rPr>
      </w:r>
    </w:p>
    <w:p>
      <w:pPr>
        <w:pStyle w:val="Normal"/>
        <w:numPr>
          <w:ilvl w:val="1"/>
          <w:numId w:val="3"/>
        </w:numPr>
        <w:jc w:val="both"/>
        <w:rPr/>
      </w:pPr>
      <w:r>
        <w:rPr/>
        <w:t>Zonal rates at the sink, plus system-wide charge.</w:t>
      </w:r>
    </w:p>
    <w:p>
      <w:pPr>
        <w:pStyle w:val="Normal"/>
        <w:ind w:start="720" w:end="0"/>
        <w:jc w:val="both"/>
        <w:rPr/>
      </w:pPr>
      <w:r>
        <w:rPr/>
      </w:r>
    </w:p>
    <w:p>
      <w:pPr>
        <w:pStyle w:val="Normal"/>
        <w:numPr>
          <w:ilvl w:val="1"/>
          <w:numId w:val="3"/>
        </w:numPr>
        <w:jc w:val="both"/>
        <w:rPr>
          <w:u w:val="single"/>
        </w:rPr>
      </w:pPr>
      <w:r>
        <w:rPr/>
        <w:t>Denies proposal to retain 25% of the ST and non-firm revenues as incentive for efficient operation (needs full explanation of proposed incentives).</w:t>
      </w:r>
    </w:p>
    <w:p>
      <w:pPr>
        <w:pStyle w:val="Normal"/>
        <w:jc w:val="both"/>
        <w:rPr>
          <w:u w:val="single"/>
        </w:rPr>
      </w:pPr>
      <w:r>
        <w:rPr>
          <w:u w:val="single"/>
        </w:rPr>
        <w:t xml:space="preserve"> </w:t>
      </w:r>
    </w:p>
    <w:p>
      <w:pPr>
        <w:pStyle w:val="Normal"/>
        <w:numPr>
          <w:ilvl w:val="0"/>
          <w:numId w:val="5"/>
        </w:numPr>
        <w:jc w:val="both"/>
        <w:rPr>
          <w:u w:val="single"/>
        </w:rPr>
      </w:pPr>
      <w:r>
        <w:rPr>
          <w:u w:val="single"/>
        </w:rPr>
        <w:t>Other Issues</w:t>
      </w:r>
    </w:p>
    <w:p>
      <w:pPr>
        <w:pStyle w:val="Normal"/>
        <w:jc w:val="both"/>
        <w:rPr>
          <w:u w:val="single"/>
        </w:rPr>
      </w:pPr>
      <w:r>
        <w:rPr>
          <w:u w:val="single"/>
        </w:rPr>
      </w:r>
    </w:p>
    <w:p>
      <w:pPr>
        <w:pStyle w:val="Normal"/>
        <w:numPr>
          <w:ilvl w:val="1"/>
          <w:numId w:val="5"/>
        </w:numPr>
        <w:jc w:val="both"/>
        <w:rPr>
          <w:u w:val="single"/>
        </w:rPr>
      </w:pPr>
      <w:r>
        <w:rPr/>
        <w:t>On or before 5/15/01, GridFlorida must provide an updated status report of seams discussions with Southern.</w:t>
      </w:r>
    </w:p>
    <w:p>
      <w:pPr>
        <w:pStyle w:val="Normal"/>
        <w:ind w:start="720" w:end="0"/>
        <w:jc w:val="both"/>
        <w:rPr>
          <w:u w:val="single"/>
        </w:rPr>
      </w:pPr>
      <w:r>
        <w:rPr>
          <w:u w:val="single"/>
        </w:rPr>
      </w:r>
    </w:p>
    <w:p>
      <w:pPr>
        <w:pStyle w:val="Normal"/>
        <w:numPr>
          <w:ilvl w:val="1"/>
          <w:numId w:val="5"/>
        </w:numPr>
        <w:jc w:val="both"/>
        <w:rPr/>
      </w:pPr>
      <w:r>
        <w:rPr/>
        <w:t xml:space="preserve">The Florida PSC’s request for a technical conference in Tallahassee (during which the PSC asked to work with the Commission on an MOU on their roles in overseeing an RTO in Florida) was not adopted.  The Commission believes that the collaborative process is working reasonably well and should be completed.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72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
      <w:lvlJc w:val="start"/>
      <w:pPr>
        <w:tabs>
          <w:tab w:val="num" w:pos="72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decimal"/>
      <w:lvlText w:val="%1."/>
      <w:lvlJc w:val="start"/>
      <w:pPr>
        <w:tabs>
          <w:tab w:val="num" w:pos="2340"/>
        </w:tabs>
        <w:ind w:start="2340" w:hanging="540"/>
      </w:pPr>
      <w:rPr/>
    </w:lvl>
  </w:abstractNum>
  <w:abstractNum w:abstractNumId="9">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Symbol" w:hAnsi="Symbol" w:cs="Symbol"/>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Wingdings" w:hAnsi="Wingdings" w:eastAsia="Times New Roman" w:cs="Times New Roman"/>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Courier New" w:hAnsi="Courier New" w:cs="Courier New"/>
    </w:rPr>
  </w:style>
  <w:style w:type="character" w:styleId="WW8Num7z1">
    <w:name w:val="WW8Num7z1"/>
    <w:qFormat/>
    <w:rPr>
      <w:rFonts w:ascii="Symbol" w:hAnsi="Symbol" w:cs="Symbol"/>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2001-03-29T19:31:00Z</dcterms:created>
  <dc:creator>cnicola</dc:creator>
  <dc:description/>
  <dc:language>en-CA</dc:language>
  <cp:lastModifiedBy>cnicola</cp:lastModifiedBy>
  <cp:lastPrinted>2001-03-29T16:20:00Z</cp:lastPrinted>
  <dcterms:modified xsi:type="dcterms:W3CDTF">2001-03-29T20:10:00Z</dcterms:modified>
  <cp:revision>9</cp:revision>
  <dc:subject/>
  <dc:title>Summary of GridFlorida Order issued 3/28/01 by FERC (Docket No</dc:title>
</cp:coreProperties>
</file>